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hint="eastAsia" w:ascii="Arial" w:hAnsi="Arial" w:cs="Arial"/>
          <w:b/>
          <w:sz w:val="24"/>
        </w:rPr>
        <w:t>3GPP TSG-RAN WG4 Meeting # 10</w:t>
      </w:r>
      <w:r>
        <w:rPr>
          <w:rFonts w:hint="eastAsia" w:ascii="Arial" w:hAnsi="Arial" w:eastAsia="宋体" w:cs="Arial"/>
          <w:b/>
          <w:sz w:val="24"/>
          <w:lang w:val="en-US" w:eastAsia="zh-CN"/>
        </w:rPr>
        <w:t>3</w:t>
      </w:r>
      <w:r>
        <w:rPr>
          <w:rFonts w:hint="eastAsia" w:ascii="Arial" w:hAnsi="Arial" w:cs="Arial"/>
          <w:b/>
          <w:sz w:val="24"/>
        </w:rPr>
        <w:t>-e</w:t>
      </w:r>
      <w:r>
        <w:rPr>
          <w:rFonts w:ascii="Arial" w:hAnsi="Arial" w:eastAsia="MS Mincho"/>
          <w:b/>
          <w:sz w:val="24"/>
        </w:rPr>
        <w:tab/>
      </w:r>
      <w:r>
        <w:rPr>
          <w:rFonts w:hint="eastAsia" w:ascii="Arial" w:hAnsi="Arial"/>
          <w:b/>
          <w:sz w:val="24"/>
          <w:lang w:eastAsia="zh-CN"/>
        </w:rPr>
        <w:t>R4-220</w:t>
      </w:r>
      <w:r>
        <w:rPr>
          <w:rFonts w:hint="eastAsia" w:ascii="Arial" w:hAnsi="Arial"/>
          <w:b/>
          <w:sz w:val="24"/>
          <w:lang w:val="en-US" w:eastAsia="zh-CN"/>
        </w:rPr>
        <w:t>8504</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color w:val="auto"/>
          <w:sz w:val="24"/>
          <w:lang w:eastAsia="zh-CN"/>
        </w:rPr>
        <w:t>Electronic Meeting, May 09 – May 20, 2022</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hint="default" w:ascii="Arial" w:hAnsi="Arial" w:eastAsia="MS Mincho"/>
          <w:b/>
          <w:sz w:val="24"/>
          <w:lang w:val="en-US" w:eastAsia="zh-CN"/>
        </w:rPr>
      </w:pPr>
      <w:r>
        <w:rPr>
          <w:rFonts w:ascii="Arial" w:hAnsi="Arial" w:eastAsia="MS Mincho"/>
          <w:b/>
          <w:sz w:val="24"/>
        </w:rPr>
        <w:t>Title:</w:t>
      </w:r>
      <w:r>
        <w:rPr>
          <w:rFonts w:hint="eastAsia" w:ascii="Arial" w:hAnsi="Arial" w:eastAsia="宋体"/>
          <w:b/>
          <w:sz w:val="24"/>
          <w:lang w:val="en-US" w:eastAsia="zh-CN"/>
        </w:rPr>
        <w:t xml:space="preserve">          Discussion on </w:t>
      </w:r>
      <w:r>
        <w:rPr>
          <w:rFonts w:hint="eastAsia" w:ascii="Arial" w:hAnsi="Arial" w:eastAsia="MS Mincho"/>
          <w:b/>
          <w:sz w:val="24"/>
          <w:lang w:eastAsia="zh-CN"/>
        </w:rPr>
        <w:t>Spherical coverage requirements</w:t>
      </w:r>
      <w:r>
        <w:rPr>
          <w:rFonts w:hint="eastAsia" w:ascii="Arial" w:hAnsi="Arial" w:eastAsia="MS Mincho"/>
          <w:b/>
          <w:sz w:val="24"/>
          <w:lang w:val="en-US" w:eastAsia="zh-CN"/>
        </w:rPr>
        <w:t xml:space="preserve"> for FR2 HST</w:t>
      </w:r>
    </w:p>
    <w:p>
      <w:pPr>
        <w:pStyle w:val="14"/>
        <w:tabs>
          <w:tab w:val="left" w:pos="1800"/>
          <w:tab w:val="left" w:pos="3825"/>
          <w:tab w:val="clear" w:pos="4536"/>
          <w:tab w:val="clear" w:pos="9072"/>
        </w:tabs>
        <w:spacing w:after="60"/>
        <w:jc w:val="both"/>
        <w:rPr>
          <w:rFonts w:hint="default" w:eastAsia="宋体"/>
          <w:sz w:val="24"/>
          <w:lang w:val="en-US" w:eastAsia="zh-CN"/>
        </w:rPr>
      </w:pPr>
      <w:r>
        <w:rPr>
          <w:sz w:val="24"/>
          <w:lang w:val="sv-SE"/>
        </w:rPr>
        <w:t>Agenda Item:</w:t>
      </w:r>
      <w:r>
        <w:rPr>
          <w:sz w:val="24"/>
          <w:lang w:val="sv-SE"/>
        </w:rPr>
        <w:tab/>
      </w:r>
      <w:r>
        <w:rPr>
          <w:rFonts w:hint="eastAsia" w:eastAsia="宋体"/>
          <w:color w:val="auto"/>
          <w:sz w:val="24"/>
          <w:lang w:val="en-US" w:eastAsia="zh-CN"/>
        </w:rPr>
        <w:t>9.8.1.2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viewpoints about spherical coverage for HST_FR2 are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 w:val="20"/>
          <w:szCs w:val="20"/>
        </w:rPr>
      </w:pPr>
      <w:r>
        <w:rPr>
          <w:rFonts w:ascii="Times New Roman" w:hAnsi="Times New Roman"/>
          <w:bCs/>
          <w:kern w:val="0"/>
          <w:sz w:val="20"/>
          <w:szCs w:val="20"/>
        </w:rPr>
        <w:t xml:space="preserve">In </w:t>
      </w:r>
      <w:r>
        <w:rPr>
          <w:rFonts w:hint="eastAsia" w:ascii="Times New Roman" w:hAnsi="Times New Roman"/>
          <w:bCs/>
          <w:kern w:val="0"/>
          <w:sz w:val="20"/>
          <w:szCs w:val="20"/>
        </w:rPr>
        <w:t>RAN4# 10</w:t>
      </w:r>
      <w:r>
        <w:rPr>
          <w:rFonts w:hint="eastAsia" w:ascii="Times New Roman" w:hAnsi="Times New Roman"/>
          <w:bCs/>
          <w:kern w:val="0"/>
          <w:sz w:val="20"/>
          <w:szCs w:val="20"/>
          <w:lang w:val="en-US" w:eastAsia="zh-CN"/>
        </w:rPr>
        <w:t>2</w:t>
      </w:r>
      <w:r>
        <w:rPr>
          <w:rFonts w:hint="eastAsia" w:ascii="Times New Roman" w:hAnsi="Times New Roman"/>
          <w:bCs/>
          <w:kern w:val="0"/>
          <w:sz w:val="20"/>
          <w:szCs w:val="20"/>
        </w:rPr>
        <w:t>-e</w:t>
      </w:r>
      <w:r>
        <w:rPr>
          <w:rFonts w:ascii="Times New Roman" w:hAnsi="Times New Roman"/>
          <w:bCs/>
          <w:kern w:val="0"/>
          <w:sz w:val="20"/>
          <w:szCs w:val="20"/>
        </w:rPr>
        <w:t xml:space="preserve"> meeting, the following </w:t>
      </w:r>
      <w:r>
        <w:rPr>
          <w:rFonts w:hint="eastAsia" w:ascii="Times New Roman" w:hAnsi="Times New Roman"/>
          <w:bCs/>
          <w:kern w:val="0"/>
          <w:sz w:val="20"/>
          <w:szCs w:val="20"/>
          <w:lang w:val="en-US" w:eastAsia="zh-CN"/>
        </w:rPr>
        <w:t xml:space="preserve">agreement </w:t>
      </w:r>
      <w:r>
        <w:rPr>
          <w:rFonts w:hint="eastAsia" w:ascii="Times New Roman" w:hAnsi="Times New Roman"/>
          <w:bCs/>
          <w:kern w:val="0"/>
          <w:sz w:val="20"/>
          <w:szCs w:val="20"/>
        </w:rPr>
        <w:t xml:space="preserve">about </w:t>
      </w:r>
      <w:r>
        <w:rPr>
          <w:rFonts w:hint="eastAsia" w:ascii="Times New Roman" w:hAnsi="Times New Roman"/>
          <w:bCs/>
          <w:kern w:val="0"/>
          <w:sz w:val="20"/>
          <w:szCs w:val="20"/>
          <w:lang w:val="en-US" w:eastAsia="zh-CN"/>
        </w:rPr>
        <w:t>spherical coverage requirement</w:t>
      </w:r>
      <w:r>
        <w:rPr>
          <w:rFonts w:hint="eastAsia" w:ascii="Times New Roman" w:hAnsi="Times New Roman"/>
          <w:bCs/>
          <w:kern w:val="0"/>
          <w:sz w:val="20"/>
          <w:szCs w:val="20"/>
        </w:rPr>
        <w:t xml:space="preserve"> </w:t>
      </w:r>
      <w:r>
        <w:rPr>
          <w:rFonts w:hint="eastAsia" w:ascii="Times New Roman" w:hAnsi="Times New Roman"/>
          <w:bCs/>
          <w:kern w:val="0"/>
          <w:sz w:val="20"/>
          <w:szCs w:val="20"/>
          <w:lang w:val="en-US" w:eastAsia="zh-CN"/>
        </w:rPr>
        <w:t xml:space="preserve">was </w:t>
      </w:r>
      <w:r>
        <w:rPr>
          <w:rFonts w:ascii="Times New Roman" w:hAnsi="Times New Roman"/>
          <w:bCs/>
          <w:kern w:val="0"/>
          <w:sz w:val="20"/>
          <w:szCs w:val="20"/>
        </w:rPr>
        <w:t>reached</w:t>
      </w:r>
      <w:r>
        <w:rPr>
          <w:rFonts w:hint="eastAsia" w:ascii="Times New Roman" w:hAnsi="Times New Roman"/>
          <w:bCs/>
          <w:kern w:val="0"/>
          <w:sz w:val="20"/>
          <w:szCs w:val="20"/>
          <w:vertAlign w:val="superscript"/>
        </w:rPr>
        <w:t>[1]</w:t>
      </w:r>
      <w:r>
        <w:rPr>
          <w:rFonts w:ascii="Times New Roman" w:hAnsi="Times New Roman"/>
          <w:bCs/>
          <w:kern w:val="0"/>
          <w:sz w:val="20"/>
          <w:szCs w:val="20"/>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kinsoku/>
              <w:wordWrap/>
              <w:overflowPunct/>
              <w:topLinePunct w:val="0"/>
              <w:autoSpaceDE/>
              <w:autoSpaceDN/>
              <w:bidi w:val="0"/>
              <w:adjustRightInd w:val="0"/>
              <w:snapToGrid w:val="0"/>
              <w:spacing w:line="240" w:lineRule="auto"/>
              <w:textAlignment w:val="auto"/>
              <w:rPr>
                <w:rFonts w:ascii="Times New Roman" w:hAnsi="Times New Roman" w:cs="Times New Roman"/>
                <w:b/>
                <w:u w:val="single"/>
                <w:lang w:eastAsia="ko-KR"/>
              </w:rPr>
            </w:pPr>
            <w:r>
              <w:rPr>
                <w:rFonts w:ascii="Times New Roman" w:hAnsi="Times New Roman" w:cs="Times New Roman"/>
                <w:b/>
                <w:u w:val="single"/>
                <w:lang w:eastAsia="ko-KR"/>
              </w:rPr>
              <w:t>Issue 2-3-1: EIS Spherical Coverage requirements</w:t>
            </w:r>
          </w:p>
          <w:p>
            <w:pPr>
              <w:pageBreakBefore w:val="0"/>
              <w:kinsoku/>
              <w:wordWrap/>
              <w:overflowPunct/>
              <w:topLinePunct w:val="0"/>
              <w:autoSpaceDE/>
              <w:autoSpaceDN/>
              <w:bidi w:val="0"/>
              <w:adjustRightInd w:val="0"/>
              <w:snapToGrid w:val="0"/>
              <w:spacing w:line="240" w:lineRule="auto"/>
              <w:textAlignment w:val="auto"/>
              <w:rPr>
                <w:rFonts w:ascii="Times New Roman" w:hAnsi="Times New Roman" w:cs="Times New Roman"/>
                <w:highlight w:val="green"/>
              </w:rPr>
            </w:pPr>
            <w:r>
              <w:rPr>
                <w:rFonts w:ascii="Times New Roman" w:hAnsi="Times New Roman" w:cs="Times New Roman"/>
                <w:b/>
                <w:highlight w:val="green"/>
              </w:rPr>
              <w:t>Agreement:</w:t>
            </w:r>
            <w:r>
              <w:rPr>
                <w:rFonts w:ascii="Times New Roman" w:hAnsi="Times New Roman" w:cs="Times New Roman"/>
                <w:highlight w:val="green"/>
              </w:rPr>
              <w:t xml:space="preserve"> the text in the follow table is agreeable but the numbers in the table will be updated based on the agreements</w:t>
            </w:r>
          </w:p>
          <w:tbl>
            <w:tblPr>
              <w:tblStyle w:val="18"/>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1" w:type="dxa"/>
                </w:tcPr>
                <w:p>
                  <w:pPr>
                    <w:keepNext/>
                    <w:keepLines/>
                    <w:pageBreakBefore w:val="0"/>
                    <w:kinsoku/>
                    <w:wordWrap/>
                    <w:overflowPunct/>
                    <w:topLinePunct w:val="0"/>
                    <w:autoSpaceDE/>
                    <w:autoSpaceDN/>
                    <w:bidi w:val="0"/>
                    <w:adjustRightInd w:val="0"/>
                    <w:snapToGrid w:val="0"/>
                    <w:spacing w:after="0" w:line="240" w:lineRule="auto"/>
                    <w:ind w:left="1418" w:hanging="1418"/>
                    <w:textAlignment w:val="auto"/>
                    <w:outlineLvl w:val="3"/>
                    <w:rPr>
                      <w:rFonts w:ascii="Times New Roman" w:hAnsi="Times New Roman" w:eastAsia="Malgun Gothic" w:cs="Times New Roman"/>
                      <w:sz w:val="20"/>
                      <w:lang w:eastAsia="en-US"/>
                    </w:rPr>
                  </w:pPr>
                  <w:r>
                    <w:rPr>
                      <w:rFonts w:ascii="Times New Roman" w:hAnsi="Times New Roman" w:eastAsia="Malgun Gothic" w:cs="Times New Roman"/>
                      <w:sz w:val="20"/>
                      <w:lang w:eastAsia="en-US"/>
                    </w:rPr>
                    <w:t>7.3.4.6</w:t>
                  </w:r>
                  <w:r>
                    <w:rPr>
                      <w:rFonts w:ascii="Times New Roman" w:hAnsi="Times New Roman" w:eastAsia="Malgun Gothic" w:cs="Times New Roman"/>
                      <w:sz w:val="20"/>
                      <w:lang w:eastAsia="en-US"/>
                    </w:rPr>
                    <w:tab/>
                  </w:r>
                  <w:r>
                    <w:rPr>
                      <w:rFonts w:ascii="Times New Roman" w:hAnsi="Times New Roman" w:eastAsia="Malgun Gothic" w:cs="Times New Roman"/>
                      <w:sz w:val="20"/>
                      <w:lang w:eastAsia="en-US"/>
                    </w:rPr>
                    <w:t>EIS spherical coverage for power class 6</w:t>
                  </w:r>
                </w:p>
                <w:p>
                  <w:pPr>
                    <w:pageBreakBefore w:val="0"/>
                    <w:kinsoku/>
                    <w:wordWrap/>
                    <w:overflowPunct/>
                    <w:topLinePunct w:val="0"/>
                    <w:autoSpaceDE/>
                    <w:autoSpaceDN/>
                    <w:bidi w:val="0"/>
                    <w:adjustRightInd w:val="0"/>
                    <w:snapToGrid w:val="0"/>
                    <w:spacing w:after="0" w:line="240" w:lineRule="auto"/>
                    <w:textAlignment w:val="auto"/>
                    <w:rPr>
                      <w:rFonts w:ascii="Times New Roman" w:hAnsi="Times New Roman" w:eastAsia="Malgun Gothic" w:cs="Times New Roman"/>
                      <w:sz w:val="20"/>
                      <w:lang w:eastAsia="en-US"/>
                    </w:rPr>
                  </w:pPr>
                  <w:r>
                    <w:rPr>
                      <w:rFonts w:ascii="Times New Roman" w:hAnsi="Times New Roman" w:eastAsia="Malgun Gothic" w:cs="Times New Roman"/>
                      <w:sz w:val="20"/>
                      <w:lang w:eastAsia="en-US"/>
                    </w:rPr>
                    <w:t>The reference measurement channels and throughput criterion shall be as specified in clause 7.3.2.6</w:t>
                  </w:r>
                </w:p>
                <w:p>
                  <w:pPr>
                    <w:pageBreakBefore w:val="0"/>
                    <w:kinsoku/>
                    <w:wordWrap/>
                    <w:overflowPunct/>
                    <w:topLinePunct w:val="0"/>
                    <w:autoSpaceDE/>
                    <w:autoSpaceDN/>
                    <w:bidi w:val="0"/>
                    <w:adjustRightInd w:val="0"/>
                    <w:snapToGrid w:val="0"/>
                    <w:spacing w:after="0" w:line="240" w:lineRule="auto"/>
                    <w:textAlignment w:val="auto"/>
                    <w:rPr>
                      <w:rFonts w:ascii="Times New Roman" w:hAnsi="Times New Roman" w:eastAsia="Malgun Gothic" w:cs="Times New Roman"/>
                      <w:sz w:val="20"/>
                      <w:lang w:eastAsia="en-US"/>
                    </w:rPr>
                  </w:pPr>
                  <w:r>
                    <w:rPr>
                      <w:rFonts w:ascii="Times New Roman" w:hAnsi="Times New Roman" w:eastAsia="Malgun Gothic" w:cs="Times New Roman"/>
                      <w:sz w:val="20"/>
                      <w:lang w:eastAsia="en-US"/>
                    </w:rPr>
                    <w:t xml:space="preserve">The maximum EIS measured </w:t>
                  </w:r>
                  <w:r>
                    <w:rPr>
                      <w:rFonts w:ascii="Times New Roman" w:hAnsi="Times New Roman" w:eastAsia="MS Mincho" w:cs="Times New Roman"/>
                      <w:sz w:val="20"/>
                      <w:lang w:eastAsia="en-US"/>
                    </w:rPr>
                    <w:t>over the spherical coverage evaluation areas</w:t>
                  </w:r>
                  <w:r>
                    <w:rPr>
                      <w:rFonts w:ascii="Times New Roman" w:hAnsi="Times New Roman" w:eastAsia="Malgun Gothic" w:cs="Times New Roman"/>
                      <w:sz w:val="20"/>
                      <w:lang w:eastAsia="en-US"/>
                    </w:rPr>
                    <w:t xml:space="preserve"> is defined as the spherical coverage requirement and is found in Table 7.3.4.6-1 below. </w:t>
                  </w:r>
                  <w:r>
                    <w:rPr>
                      <w:rFonts w:ascii="Times New Roman" w:hAnsi="Times New Roman" w:eastAsia="MS Mincho" w:cs="Times New Roman"/>
                      <w:sz w:val="20"/>
                      <w:lang w:eastAsia="en-US"/>
                    </w:rPr>
                    <w:t xml:space="preserve">UE spherical coverage evaluation areas are found in Table 6.2.1.6-3a in clause 6.2.1.6, by consisting of Area-1 and Area-2, in the reference coordinate system in Annex J.1. </w:t>
                  </w:r>
                  <w:r>
                    <w:rPr>
                      <w:rFonts w:ascii="Times New Roman" w:hAnsi="Times New Roman" w:eastAsia="Malgun Gothic" w:cs="Times New Roman"/>
                      <w:sz w:val="20"/>
                      <w:lang w:eastAsia="en-US"/>
                    </w:rPr>
                    <w:t>The requirement is verified with the test metric of EIS (Link=Spherical coverage grid, Meas=Link angle).</w:t>
                  </w:r>
                </w:p>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b/>
                      <w:sz w:val="20"/>
                      <w:lang w:eastAsia="en-US"/>
                    </w:rPr>
                  </w:pPr>
                  <w:r>
                    <w:rPr>
                      <w:rFonts w:ascii="Times New Roman" w:hAnsi="Times New Roman" w:cs="Times New Roman"/>
                      <w:b/>
                      <w:sz w:val="20"/>
                      <w:lang w:eastAsia="en-US"/>
                    </w:rPr>
                    <w:t>Table 7.3.4.6-1: EIS spherical coverage for power class 6</w:t>
                  </w:r>
                </w:p>
                <w:tbl>
                  <w:tblPr>
                    <w:tblStyle w:val="17"/>
                    <w:tblpPr w:leftFromText="180" w:rightFromText="180" w:vertAnchor="text" w:horzAnchor="page" w:tblpX="414" w:tblpY="38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517"/>
                    <w:gridCol w:w="1971"/>
                    <w:gridCol w:w="1372"/>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vMerge w:val="restart"/>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Operating band</w:t>
                        </w:r>
                      </w:p>
                    </w:tc>
                    <w:tc>
                      <w:tcPr>
                        <w:tcW w:w="6413" w:type="dxa"/>
                        <w:gridSpan w:val="4"/>
                        <w:shd w:val="clear" w:color="auto" w:fill="auto"/>
                        <w:vAlign w:val="center"/>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Max EIS over UE spherical coverage evaluation areas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vMerge w:val="continue"/>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eastAsia="Malgun Gothic" w:cs="Times New Roman"/>
                            <w:b/>
                            <w:sz w:val="20"/>
                            <w:lang w:eastAsia="en-US"/>
                          </w:rPr>
                        </w:pPr>
                      </w:p>
                    </w:tc>
                    <w:tc>
                      <w:tcPr>
                        <w:tcW w:w="1517" w:type="dxa"/>
                        <w:shd w:val="clear" w:color="auto" w:fill="auto"/>
                        <w:vAlign w:val="center"/>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50 MHz</w:t>
                        </w:r>
                      </w:p>
                    </w:tc>
                    <w:tc>
                      <w:tcPr>
                        <w:tcW w:w="1971" w:type="dxa"/>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100 MHz</w:t>
                        </w:r>
                      </w:p>
                    </w:tc>
                    <w:tc>
                      <w:tcPr>
                        <w:tcW w:w="1372" w:type="dxa"/>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200 MHz</w:t>
                        </w:r>
                      </w:p>
                    </w:tc>
                    <w:tc>
                      <w:tcPr>
                        <w:tcW w:w="1553" w:type="dxa"/>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eastAsia="en-US"/>
                          </w:rPr>
                        </w:pPr>
                        <w:r>
                          <w:rPr>
                            <w:rFonts w:ascii="Times New Roman" w:hAnsi="Times New Roman" w:cs="Times New Roman"/>
                            <w:sz w:val="20"/>
                            <w:lang w:val="zh-CN" w:eastAsia="en-US"/>
                          </w:rPr>
                          <w:t>n257</w:t>
                        </w:r>
                      </w:p>
                    </w:tc>
                    <w:tc>
                      <w:tcPr>
                        <w:tcW w:w="1517" w:type="dxa"/>
                        <w:shd w:val="clear" w:color="auto" w:fill="auto"/>
                        <w:vAlign w:val="bottom"/>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eastAsia="en-US"/>
                          </w:rPr>
                        </w:pPr>
                        <w:r>
                          <w:rPr>
                            <w:rFonts w:ascii="Times New Roman" w:hAnsi="Times New Roman" w:cs="Times New Roman"/>
                            <w:sz w:val="20"/>
                            <w:lang w:val="zh-CN" w:eastAsia="en-US"/>
                          </w:rPr>
                          <w:t>[-80.6]</w:t>
                        </w:r>
                      </w:p>
                    </w:tc>
                    <w:tc>
                      <w:tcPr>
                        <w:tcW w:w="1971" w:type="dxa"/>
                        <w:shd w:val="clear" w:color="auto" w:fill="auto"/>
                        <w:vAlign w:val="bottom"/>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rPr>
                        </w:pPr>
                        <w:r>
                          <w:rPr>
                            <w:rFonts w:ascii="Times New Roman" w:hAnsi="Times New Roman" w:cs="Times New Roman"/>
                            <w:sz w:val="20"/>
                            <w:lang w:val="zh-CN" w:eastAsia="en-US"/>
                          </w:rPr>
                          <w:t>[-77.6]</w:t>
                        </w:r>
                      </w:p>
                    </w:tc>
                    <w:tc>
                      <w:tcPr>
                        <w:tcW w:w="1372" w:type="dxa"/>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rPr>
                        </w:pPr>
                        <w:r>
                          <w:rPr>
                            <w:rFonts w:ascii="Times New Roman" w:hAnsi="Times New Roman" w:cs="Times New Roman"/>
                            <w:sz w:val="20"/>
                            <w:lang w:val="zh-CN" w:eastAsia="en-US"/>
                          </w:rPr>
                          <w:t>[-74.6]</w:t>
                        </w:r>
                      </w:p>
                    </w:tc>
                    <w:tc>
                      <w:tcPr>
                        <w:tcW w:w="1553" w:type="dxa"/>
                        <w:shd w:val="clear" w:color="auto" w:fill="auto"/>
                        <w:vAlign w:val="bottom"/>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rPr>
                        </w:pPr>
                        <w:r>
                          <w:rPr>
                            <w:rFonts w:ascii="Times New Roman" w:hAnsi="Times New Roman" w:cs="Times New Roman"/>
                            <w:sz w:val="20"/>
                            <w:lang w:val="zh-CN" w:eastAsia="en-US"/>
                          </w:rPr>
                          <w:t>[-71.6]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eastAsia="en-US"/>
                          </w:rPr>
                        </w:pPr>
                        <w:r>
                          <w:rPr>
                            <w:rFonts w:ascii="Times New Roman" w:hAnsi="Times New Roman" w:cs="Times New Roman"/>
                            <w:sz w:val="20"/>
                            <w:lang w:eastAsia="en-US"/>
                          </w:rPr>
                          <w:t>n258</w:t>
                        </w:r>
                      </w:p>
                    </w:tc>
                    <w:tc>
                      <w:tcPr>
                        <w:tcW w:w="1517" w:type="dxa"/>
                        <w:shd w:val="clear" w:color="auto" w:fill="auto"/>
                        <w:vAlign w:val="bottom"/>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eastAsia="en-US"/>
                          </w:rPr>
                        </w:pPr>
                        <w:r>
                          <w:rPr>
                            <w:rFonts w:ascii="Times New Roman" w:hAnsi="Times New Roman" w:cs="Times New Roman"/>
                            <w:sz w:val="20"/>
                            <w:lang w:val="zh-CN" w:eastAsia="en-US"/>
                          </w:rPr>
                          <w:t>[-80.8]</w:t>
                        </w:r>
                      </w:p>
                    </w:tc>
                    <w:tc>
                      <w:tcPr>
                        <w:tcW w:w="1971" w:type="dxa"/>
                        <w:shd w:val="clear" w:color="auto" w:fill="auto"/>
                        <w:vAlign w:val="bottom"/>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rPr>
                        </w:pPr>
                        <w:r>
                          <w:rPr>
                            <w:rFonts w:ascii="Times New Roman" w:hAnsi="Times New Roman" w:cs="Times New Roman"/>
                            <w:sz w:val="20"/>
                            <w:lang w:val="zh-CN" w:eastAsia="en-US"/>
                          </w:rPr>
                          <w:t>[-77.8]</w:t>
                        </w:r>
                      </w:p>
                    </w:tc>
                    <w:tc>
                      <w:tcPr>
                        <w:tcW w:w="1372" w:type="dxa"/>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rPr>
                        </w:pPr>
                        <w:r>
                          <w:rPr>
                            <w:rFonts w:ascii="Times New Roman" w:hAnsi="Times New Roman" w:cs="Times New Roman"/>
                            <w:sz w:val="20"/>
                            <w:lang w:val="zh-CN" w:eastAsia="en-US"/>
                          </w:rPr>
                          <w:t>[-74.8]</w:t>
                        </w:r>
                      </w:p>
                    </w:tc>
                    <w:tc>
                      <w:tcPr>
                        <w:tcW w:w="1553" w:type="dxa"/>
                        <w:shd w:val="clear" w:color="auto" w:fill="auto"/>
                        <w:vAlign w:val="bottom"/>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rPr>
                        </w:pPr>
                        <w:r>
                          <w:rPr>
                            <w:rFonts w:ascii="Times New Roman" w:hAnsi="Times New Roman" w:cs="Times New Roman"/>
                            <w:sz w:val="20"/>
                            <w:lang w:val="zh-CN" w:eastAsia="en-US"/>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eastAsia="en-US"/>
                          </w:rPr>
                        </w:pPr>
                        <w:r>
                          <w:rPr>
                            <w:rFonts w:ascii="Times New Roman" w:hAnsi="Times New Roman" w:cs="Times New Roman"/>
                            <w:sz w:val="20"/>
                            <w:lang w:eastAsia="en-US"/>
                          </w:rPr>
                          <w:t>n261</w:t>
                        </w:r>
                      </w:p>
                    </w:tc>
                    <w:tc>
                      <w:tcPr>
                        <w:tcW w:w="1517" w:type="dxa"/>
                        <w:shd w:val="clear" w:color="auto" w:fill="auto"/>
                        <w:vAlign w:val="bottom"/>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eastAsia="en-US"/>
                          </w:rPr>
                        </w:pPr>
                        <w:r>
                          <w:rPr>
                            <w:rFonts w:ascii="Times New Roman" w:hAnsi="Times New Roman" w:cs="Times New Roman"/>
                            <w:sz w:val="20"/>
                            <w:lang w:val="zh-CN" w:eastAsia="en-US"/>
                          </w:rPr>
                          <w:t>[-80.6]</w:t>
                        </w:r>
                      </w:p>
                    </w:tc>
                    <w:tc>
                      <w:tcPr>
                        <w:tcW w:w="1971" w:type="dxa"/>
                        <w:shd w:val="clear" w:color="auto" w:fill="auto"/>
                        <w:vAlign w:val="bottom"/>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rPr>
                        </w:pPr>
                        <w:r>
                          <w:rPr>
                            <w:rFonts w:ascii="Times New Roman" w:hAnsi="Times New Roman" w:cs="Times New Roman"/>
                            <w:sz w:val="20"/>
                            <w:lang w:val="zh-CN" w:eastAsia="en-US"/>
                          </w:rPr>
                          <w:t>[-77.6]</w:t>
                        </w:r>
                      </w:p>
                    </w:tc>
                    <w:tc>
                      <w:tcPr>
                        <w:tcW w:w="1372" w:type="dxa"/>
                        <w:shd w:val="clear" w:color="auto" w:fill="auto"/>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rPr>
                        </w:pPr>
                        <w:r>
                          <w:rPr>
                            <w:rFonts w:ascii="Times New Roman" w:hAnsi="Times New Roman" w:cs="Times New Roman"/>
                            <w:sz w:val="20"/>
                            <w:lang w:val="zh-CN" w:eastAsia="en-US"/>
                          </w:rPr>
                          <w:t>[-74.6]</w:t>
                        </w:r>
                      </w:p>
                    </w:tc>
                    <w:tc>
                      <w:tcPr>
                        <w:tcW w:w="1553" w:type="dxa"/>
                        <w:shd w:val="clear" w:color="auto" w:fill="auto"/>
                        <w:vAlign w:val="bottom"/>
                      </w:tcPr>
                      <w:p>
                        <w:pPr>
                          <w:keepNext/>
                          <w:keepLines/>
                          <w:pageBreakBefore w:val="0"/>
                          <w:kinsoku/>
                          <w:wordWrap/>
                          <w:overflowPunct/>
                          <w:topLinePunct w:val="0"/>
                          <w:autoSpaceDE/>
                          <w:autoSpaceDN/>
                          <w:bidi w:val="0"/>
                          <w:adjustRightInd w:val="0"/>
                          <w:snapToGrid w:val="0"/>
                          <w:spacing w:after="0" w:line="240" w:lineRule="auto"/>
                          <w:jc w:val="center"/>
                          <w:textAlignment w:val="auto"/>
                          <w:rPr>
                            <w:rFonts w:ascii="Times New Roman" w:hAnsi="Times New Roman" w:cs="Times New Roman"/>
                            <w:sz w:val="20"/>
                            <w:lang w:val="zh-CN"/>
                          </w:rPr>
                        </w:pPr>
                        <w:r>
                          <w:rPr>
                            <w:rFonts w:ascii="Times New Roman" w:hAnsi="Times New Roman" w:cs="Times New Roman"/>
                            <w:sz w:val="20"/>
                            <w:lang w:val="zh-CN" w:eastAsia="en-US"/>
                          </w:rPr>
                          <w:t>[-71.6]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3" w:type="dxa"/>
                        <w:gridSpan w:val="5"/>
                        <w:shd w:val="clear" w:color="auto" w:fill="auto"/>
                      </w:tcPr>
                      <w:p>
                        <w:pPr>
                          <w:keepNext/>
                          <w:keepLines/>
                          <w:pageBreakBefore w:val="0"/>
                          <w:kinsoku/>
                          <w:wordWrap/>
                          <w:overflowPunct/>
                          <w:topLinePunct w:val="0"/>
                          <w:autoSpaceDE/>
                          <w:autoSpaceDN/>
                          <w:bidi w:val="0"/>
                          <w:adjustRightInd w:val="0"/>
                          <w:snapToGrid w:val="0"/>
                          <w:spacing w:after="0" w:line="240" w:lineRule="auto"/>
                          <w:ind w:left="851" w:hanging="851"/>
                          <w:textAlignment w:val="auto"/>
                          <w:rPr>
                            <w:rFonts w:ascii="Times New Roman" w:hAnsi="Times New Roman" w:eastAsia="Malgun Gothic" w:cs="Times New Roman"/>
                            <w:sz w:val="20"/>
                            <w:lang w:eastAsia="en-US"/>
                          </w:rPr>
                        </w:pPr>
                        <w:r>
                          <w:rPr>
                            <w:rFonts w:ascii="Times New Roman" w:hAnsi="Times New Roman" w:eastAsia="Malgun Gothic" w:cs="Times New Roman"/>
                            <w:sz w:val="20"/>
                            <w:lang w:eastAsia="en-US"/>
                          </w:rPr>
                          <w:t>NOTE 1:</w:t>
                        </w:r>
                        <w:r>
                          <w:rPr>
                            <w:rFonts w:ascii="Times New Roman" w:hAnsi="Times New Roman" w:eastAsia="Malgun Gothic" w:cs="Times New Roman"/>
                            <w:sz w:val="20"/>
                            <w:lang w:eastAsia="en-US"/>
                          </w:rPr>
                          <w:tab/>
                        </w:r>
                        <w:r>
                          <w:rPr>
                            <w:rFonts w:ascii="Times New Roman" w:hAnsi="Times New Roman" w:eastAsia="Malgun Gothic" w:cs="Times New Roman"/>
                            <w:sz w:val="20"/>
                            <w:lang w:eastAsia="en-US"/>
                          </w:rPr>
                          <w:t>The transmitter shall be set to P</w:t>
                        </w:r>
                        <w:r>
                          <w:rPr>
                            <w:rFonts w:ascii="Times New Roman" w:hAnsi="Times New Roman" w:eastAsia="Malgun Gothic" w:cs="Times New Roman"/>
                            <w:sz w:val="20"/>
                            <w:vertAlign w:val="subscript"/>
                            <w:lang w:eastAsia="en-US"/>
                          </w:rPr>
                          <w:t>UMAX</w:t>
                        </w:r>
                        <w:r>
                          <w:rPr>
                            <w:rFonts w:ascii="Times New Roman" w:hAnsi="Times New Roman" w:eastAsia="Malgun Gothic" w:cs="Times New Roman"/>
                            <w:sz w:val="20"/>
                            <w:lang w:eastAsia="en-US"/>
                          </w:rPr>
                          <w:t xml:space="preserve"> as defined in clause 6.2.4</w:t>
                        </w:r>
                      </w:p>
                      <w:p>
                        <w:pPr>
                          <w:keepNext/>
                          <w:keepLines/>
                          <w:pageBreakBefore w:val="0"/>
                          <w:kinsoku/>
                          <w:wordWrap/>
                          <w:overflowPunct/>
                          <w:topLinePunct w:val="0"/>
                          <w:autoSpaceDE/>
                          <w:autoSpaceDN/>
                          <w:bidi w:val="0"/>
                          <w:adjustRightInd w:val="0"/>
                          <w:snapToGrid w:val="0"/>
                          <w:spacing w:after="0" w:line="240" w:lineRule="auto"/>
                          <w:ind w:left="851" w:hanging="851"/>
                          <w:textAlignment w:val="auto"/>
                          <w:rPr>
                            <w:rFonts w:ascii="Times New Roman" w:hAnsi="Times New Roman" w:eastAsia="Malgun Gothic" w:cs="Times New Roman"/>
                            <w:sz w:val="20"/>
                            <w:lang w:eastAsia="en-US"/>
                          </w:rPr>
                        </w:pPr>
                        <w:r>
                          <w:rPr>
                            <w:rFonts w:ascii="Times New Roman" w:hAnsi="Times New Roman" w:eastAsia="Malgun Gothic" w:cs="Times New Roman"/>
                            <w:sz w:val="20"/>
                            <w:lang w:eastAsia="en-US"/>
                          </w:rPr>
                          <w:t>NOTE 2:</w:t>
                        </w:r>
                        <w:r>
                          <w:rPr>
                            <w:rFonts w:ascii="Times New Roman" w:hAnsi="Times New Roman" w:eastAsia="Malgun Gothic" w:cs="Times New Roman"/>
                            <w:sz w:val="20"/>
                            <w:lang w:eastAsia="en-US"/>
                          </w:rPr>
                          <w:tab/>
                        </w:r>
                        <w:r>
                          <w:rPr>
                            <w:rFonts w:ascii="Times New Roman" w:hAnsi="Times New Roman" w:eastAsia="Malgun Gothic" w:cs="Times New Roman"/>
                            <w:sz w:val="20"/>
                            <w:lang w:eastAsia="en-US"/>
                          </w:rPr>
                          <w:t>The EIS spherical coverage requirements are verified only under normal thermal conditions as defined in Annex E.2.1.</w:t>
                        </w:r>
                      </w:p>
                    </w:tc>
                  </w:tr>
                </w:tbl>
                <w:p>
                  <w:pPr>
                    <w:pageBreakBefore w:val="0"/>
                    <w:kinsoku/>
                    <w:wordWrap/>
                    <w:overflowPunct/>
                    <w:topLinePunct w:val="0"/>
                    <w:autoSpaceDE/>
                    <w:autoSpaceDN/>
                    <w:bidi w:val="0"/>
                    <w:adjustRightInd w:val="0"/>
                    <w:snapToGrid w:val="0"/>
                    <w:spacing w:after="0" w:line="240" w:lineRule="auto"/>
                    <w:textAlignment w:val="auto"/>
                    <w:rPr>
                      <w:rFonts w:ascii="Times New Roman" w:hAnsi="Times New Roman" w:eastAsia="Malgun Gothic" w:cs="Times New Roman"/>
                      <w:sz w:val="20"/>
                      <w:lang w:eastAsia="en-US"/>
                    </w:rPr>
                  </w:pPr>
                </w:p>
                <w:p>
                  <w:pPr>
                    <w:pageBreakBefore w:val="0"/>
                    <w:kinsoku/>
                    <w:wordWrap/>
                    <w:overflowPunct/>
                    <w:topLinePunct w:val="0"/>
                    <w:autoSpaceDE/>
                    <w:autoSpaceDN/>
                    <w:bidi w:val="0"/>
                    <w:adjustRightInd w:val="0"/>
                    <w:snapToGrid w:val="0"/>
                    <w:spacing w:after="0" w:line="240" w:lineRule="auto"/>
                    <w:textAlignment w:val="auto"/>
                    <w:rPr>
                      <w:rFonts w:ascii="Times New Roman" w:hAnsi="Times New Roman" w:eastAsia="Malgun Gothic" w:cs="Times New Roman"/>
                      <w:sz w:val="20"/>
                      <w:lang w:eastAsia="en-US"/>
                    </w:rPr>
                  </w:pPr>
                  <w:r>
                    <w:rPr>
                      <w:rFonts w:ascii="Times New Roman" w:hAnsi="Times New Roman" w:eastAsia="Malgun Gothic" w:cs="Times New Roman"/>
                      <w:sz w:val="20"/>
                      <w:lang w:eastAsia="en-US"/>
                    </w:rPr>
                    <w:t>The requirement shall be met for an uplink transmission using QPSK DFT-s-OFDM waveforms and for uplink transmission bandwidth less than or equal to that specified in Table 7.3.2.1-2.</w:t>
                  </w:r>
                </w:p>
                <w:p>
                  <w:pPr>
                    <w:pageBreakBefore w:val="0"/>
                    <w:kinsoku/>
                    <w:wordWrap/>
                    <w:overflowPunct/>
                    <w:topLinePunct w:val="0"/>
                    <w:autoSpaceDE/>
                    <w:autoSpaceDN/>
                    <w:bidi w:val="0"/>
                    <w:adjustRightInd w:val="0"/>
                    <w:snapToGrid w:val="0"/>
                    <w:spacing w:after="0" w:line="240" w:lineRule="auto"/>
                    <w:textAlignment w:val="auto"/>
                    <w:rPr>
                      <w:rFonts w:ascii="Times New Roman" w:hAnsi="Times New Roman" w:cs="Times New Roman"/>
                      <w:sz w:val="20"/>
                      <w:lang w:eastAsia="en-US"/>
                    </w:rPr>
                  </w:pPr>
                  <w:r>
                    <w:rPr>
                      <w:rFonts w:ascii="Times New Roman" w:hAnsi="Times New Roman" w:eastAsia="Malgun Gothic" w:cs="Times New Roman"/>
                      <w:sz w:val="20"/>
                      <w:lang w:eastAsia="en-US"/>
                    </w:rPr>
                    <w:t xml:space="preserve">Unless given by Table 7.3.2.1-3, </w:t>
                  </w:r>
                  <w:r>
                    <w:rPr>
                      <w:rFonts w:ascii="Times New Roman" w:hAnsi="Times New Roman" w:eastAsia="Malgun Gothic" w:cs="Times New Roman"/>
                      <w:snapToGrid w:val="0"/>
                      <w:sz w:val="20"/>
                      <w:lang w:eastAsia="en-US"/>
                    </w:rPr>
                    <w:t xml:space="preserve">the minimum requirements </w:t>
                  </w:r>
                  <w:r>
                    <w:rPr>
                      <w:rFonts w:ascii="Times New Roman" w:hAnsi="Times New Roman" w:eastAsia="Malgun Gothic" w:cs="Times New Roman"/>
                      <w:sz w:val="20"/>
                      <w:lang w:eastAsia="en-US"/>
                    </w:rPr>
                    <w:t xml:space="preserve">for reference sensitivity </w:t>
                  </w:r>
                  <w:r>
                    <w:rPr>
                      <w:rFonts w:ascii="Times New Roman" w:hAnsi="Times New Roman" w:eastAsia="Malgun Gothic" w:cs="Times New Roman"/>
                      <w:snapToGrid w:val="0"/>
                      <w:sz w:val="20"/>
                      <w:lang w:eastAsia="en-US"/>
                    </w:rPr>
                    <w:t>shall be verified with the network signalling value NS_200 (Table 6.2.3-1) configured.</w:t>
                  </w:r>
                </w:p>
              </w:tc>
            </w:tr>
          </w:tbl>
          <w:p>
            <w:pPr>
              <w:pStyle w:val="29"/>
              <w:pageBreakBefore w:val="0"/>
              <w:numPr>
                <w:ilvl w:val="2"/>
                <w:numId w:val="4"/>
              </w:numPr>
              <w:kinsoku/>
              <w:wordWrap/>
              <w:overflowPunct/>
              <w:topLinePunct w:val="0"/>
              <w:autoSpaceDE/>
              <w:autoSpaceDN/>
              <w:bidi w:val="0"/>
              <w:adjustRightInd w:val="0"/>
              <w:snapToGrid w:val="0"/>
              <w:spacing w:after="120" w:line="240" w:lineRule="auto"/>
              <w:textAlignment w:val="auto"/>
              <w:rPr>
                <w:rFonts w:hint="eastAsia"/>
                <w:lang w:val="en-GB" w:eastAsia="zh-CN"/>
              </w:rPr>
            </w:pPr>
          </w:p>
        </w:tc>
      </w:tr>
    </w:tbl>
    <w:p>
      <w:pPr>
        <w:pStyle w:val="29"/>
        <w:keepNext w:val="0"/>
        <w:keepLines w:val="0"/>
        <w:pageBreakBefore w:val="0"/>
        <w:widowControl w:val="0"/>
        <w:kinsoku/>
        <w:wordWrap/>
        <w:overflowPunct/>
        <w:topLinePunct w:val="0"/>
        <w:autoSpaceDE/>
        <w:autoSpaceDN/>
        <w:bidi w:val="0"/>
        <w:adjustRightInd w:val="0"/>
        <w:snapToGrid w:val="0"/>
        <w:spacing w:before="313" w:beforeLines="100" w:after="0" w:line="240" w:lineRule="auto"/>
        <w:ind w:firstLine="0" w:firstLineChars="0"/>
        <w:textAlignment w:val="auto"/>
        <w:rPr>
          <w:rFonts w:hint="eastAsia" w:ascii="Times New Roman" w:hAnsi="Times New Roman" w:cs="Times New Roman"/>
          <w:b w:val="0"/>
          <w:i w:val="0"/>
          <w:color w:val="000000"/>
          <w:spacing w:val="0"/>
          <w:kern w:val="0"/>
          <w:sz w:val="20"/>
          <w:szCs w:val="20"/>
          <w:shd w:val="clear" w:fill="FFFFFF"/>
          <w:vertAlign w:val="baseline"/>
          <w:lang w:val="en-US" w:eastAsia="zh-CN" w:bidi="ar"/>
        </w:rPr>
      </w:pPr>
      <w:r>
        <w:rPr>
          <w:rFonts w:hint="eastAsia" w:ascii="Times New Roman" w:hAnsi="Times New Roman" w:cs="Times New Roman"/>
          <w:b w:val="0"/>
          <w:i w:val="0"/>
          <w:color w:val="000000"/>
          <w:spacing w:val="0"/>
          <w:kern w:val="0"/>
          <w:sz w:val="20"/>
          <w:szCs w:val="20"/>
          <w:shd w:val="clear" w:fill="FFFFFF"/>
          <w:vertAlign w:val="baseline"/>
          <w:lang w:val="en-US" w:eastAsia="zh-CN" w:bidi="ar"/>
        </w:rPr>
        <w:t>With regard to the exact values, we think the reference sensitivity requirement of PC 5 can be referred to as pointed by company last meeting. For the receiver coverage requirement, EIRP drop can be used to derive the value as the beamforming gain and the number of beams of transmitter and receiver of the same CPE is roughly the same.</w:t>
      </w:r>
    </w:p>
    <w:p>
      <w:pPr>
        <w:pStyle w:val="29"/>
        <w:keepNext w:val="0"/>
        <w:keepLines w:val="0"/>
        <w:pageBreakBefore w:val="0"/>
        <w:widowControl w:val="0"/>
        <w:kinsoku/>
        <w:wordWrap/>
        <w:overflowPunct/>
        <w:topLinePunct w:val="0"/>
        <w:autoSpaceDE/>
        <w:autoSpaceDN/>
        <w:bidi w:val="0"/>
        <w:adjustRightInd w:val="0"/>
        <w:snapToGrid w:val="0"/>
        <w:spacing w:before="313" w:beforeLines="100" w:after="313" w:afterLines="100" w:line="240" w:lineRule="auto"/>
        <w:ind w:firstLine="0" w:firstLineChars="0"/>
        <w:textAlignment w:val="auto"/>
        <w:rPr>
          <w:rFonts w:hint="eastAsia" w:ascii="Times New Roman" w:hAnsi="Times New Roman" w:cs="Times New Roman"/>
          <w:b w:val="0"/>
          <w:i w:val="0"/>
          <w:color w:val="000000"/>
          <w:spacing w:val="0"/>
          <w:kern w:val="0"/>
          <w:sz w:val="20"/>
          <w:szCs w:val="20"/>
          <w:shd w:val="clear" w:fill="FFFFFF"/>
          <w:vertAlign w:val="baseline"/>
          <w:lang w:val="en-US" w:eastAsia="zh-CN" w:bidi="ar"/>
        </w:rPr>
      </w:pPr>
      <w:r>
        <w:rPr>
          <w:rFonts w:hint="eastAsia" w:ascii="Times New Roman" w:hAnsi="Times New Roman" w:cs="Times New Roman"/>
          <w:b w:val="0"/>
          <w:i w:val="0"/>
          <w:color w:val="000000"/>
          <w:spacing w:val="0"/>
          <w:kern w:val="0"/>
          <w:sz w:val="20"/>
          <w:szCs w:val="20"/>
          <w:shd w:val="clear" w:fill="FFFFFF"/>
          <w:vertAlign w:val="baseline"/>
          <w:lang w:val="en-US" w:eastAsia="zh-CN" w:bidi="ar"/>
        </w:rPr>
        <w:t xml:space="preserve">As agreed in RAN4 102-e meeting, the EIRP drop is 10 dB, so the </w:t>
      </w:r>
      <w:bookmarkStart w:id="0" w:name="_GoBack"/>
      <w:bookmarkEnd w:id="0"/>
      <w:r>
        <w:rPr>
          <w:rFonts w:hint="eastAsia" w:ascii="Times New Roman" w:hAnsi="Times New Roman" w:cs="Times New Roman"/>
          <w:b w:val="0"/>
          <w:i w:val="0"/>
          <w:color w:val="000000"/>
          <w:spacing w:val="0"/>
          <w:kern w:val="0"/>
          <w:sz w:val="20"/>
          <w:szCs w:val="20"/>
          <w:shd w:val="clear" w:fill="FFFFFF"/>
          <w:vertAlign w:val="baseline"/>
          <w:lang w:val="en-US" w:eastAsia="zh-CN" w:bidi="ar"/>
        </w:rPr>
        <w:t>following value for EIS coverage for power class 6 can be considered.</w:t>
      </w:r>
    </w:p>
    <w:p>
      <w:pPr>
        <w:pStyle w:val="29"/>
        <w:suppressAutoHyphens/>
        <w:ind w:firstLine="0" w:firstLineChars="0"/>
        <w:rPr>
          <w:rFonts w:hint="eastAsia" w:ascii="Times New Roman" w:hAnsi="Times New Roman"/>
          <w:b/>
          <w:kern w:val="0"/>
          <w:sz w:val="20"/>
          <w:szCs w:val="20"/>
          <w:lang w:val="en-US" w:eastAsia="zh-CN"/>
        </w:rPr>
      </w:pPr>
      <w:r>
        <w:rPr>
          <w:rFonts w:hint="eastAsia" w:ascii="Times New Roman" w:hAnsi="Times New Roman"/>
          <w:b/>
          <w:kern w:val="0"/>
          <w:sz w:val="20"/>
          <w:szCs w:val="20"/>
          <w:lang w:val="en-US" w:eastAsia="zh-CN"/>
        </w:rPr>
        <w:t>Proposal 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To consider the following values for EIS requirements.</w:t>
      </w:r>
    </w:p>
    <w:tbl>
      <w:tblPr>
        <w:tblStyle w:val="17"/>
        <w:tblW w:w="0" w:type="auto"/>
        <w:tblInd w:w="1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1517"/>
        <w:gridCol w:w="1971"/>
        <w:gridCol w:w="1372"/>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vMerge w:val="restart"/>
            <w:shd w:val="clear" w:color="auto" w:fill="auto"/>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Operating band</w:t>
            </w:r>
          </w:p>
        </w:tc>
        <w:tc>
          <w:tcPr>
            <w:tcW w:w="6413" w:type="dxa"/>
            <w:gridSpan w:val="4"/>
            <w:shd w:val="clear" w:color="auto" w:fill="auto"/>
            <w:vAlign w:val="center"/>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Max EIS over UE spherical coverage evaluation areas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vMerge w:val="continue"/>
            <w:shd w:val="clear" w:color="auto" w:fill="auto"/>
          </w:tcPr>
          <w:p>
            <w:pPr>
              <w:keepNext/>
              <w:keepLines/>
              <w:spacing w:after="0"/>
              <w:jc w:val="center"/>
              <w:rPr>
                <w:rFonts w:ascii="Times New Roman" w:hAnsi="Times New Roman" w:eastAsia="Malgun Gothic" w:cs="Times New Roman"/>
                <w:b/>
                <w:sz w:val="20"/>
                <w:lang w:eastAsia="en-US"/>
              </w:rPr>
            </w:pPr>
          </w:p>
        </w:tc>
        <w:tc>
          <w:tcPr>
            <w:tcW w:w="1517" w:type="dxa"/>
            <w:shd w:val="clear" w:color="auto" w:fill="auto"/>
            <w:vAlign w:val="center"/>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50 MHz</w:t>
            </w:r>
          </w:p>
        </w:tc>
        <w:tc>
          <w:tcPr>
            <w:tcW w:w="1971" w:type="dxa"/>
            <w:shd w:val="clear" w:color="auto" w:fill="auto"/>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100 MHz</w:t>
            </w:r>
          </w:p>
        </w:tc>
        <w:tc>
          <w:tcPr>
            <w:tcW w:w="1372" w:type="dxa"/>
            <w:shd w:val="clear" w:color="auto" w:fill="auto"/>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200 MHz</w:t>
            </w:r>
          </w:p>
        </w:tc>
        <w:tc>
          <w:tcPr>
            <w:tcW w:w="1553" w:type="dxa"/>
            <w:shd w:val="clear" w:color="auto" w:fill="auto"/>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keepNext/>
              <w:keepLines/>
              <w:spacing w:after="0"/>
              <w:jc w:val="center"/>
              <w:rPr>
                <w:rFonts w:ascii="Times New Roman" w:hAnsi="Times New Roman" w:cs="Times New Roman"/>
                <w:sz w:val="20"/>
                <w:lang w:val="zh-CN" w:eastAsia="en-US"/>
              </w:rPr>
            </w:pPr>
            <w:r>
              <w:rPr>
                <w:rFonts w:ascii="Times New Roman" w:hAnsi="Times New Roman" w:cs="Times New Roman"/>
                <w:sz w:val="20"/>
                <w:lang w:val="zh-CN" w:eastAsia="en-US"/>
              </w:rPr>
              <w:t>n257</w:t>
            </w:r>
          </w:p>
        </w:tc>
        <w:tc>
          <w:tcPr>
            <w:tcW w:w="1517" w:type="dxa"/>
            <w:shd w:val="clear" w:color="auto" w:fill="auto"/>
            <w:vAlign w:val="bottom"/>
          </w:tcPr>
          <w:p>
            <w:pPr>
              <w:keepNext/>
              <w:keepLines/>
              <w:spacing w:after="0"/>
              <w:jc w:val="center"/>
              <w:rPr>
                <w:rFonts w:ascii="Times New Roman" w:hAnsi="Times New Roman" w:cs="Times New Roman"/>
                <w:sz w:val="20"/>
                <w:lang w:val="zh-CN" w:eastAsia="en-US"/>
              </w:rPr>
            </w:pPr>
            <w:r>
              <w:rPr>
                <w:rFonts w:ascii="Times New Roman" w:hAnsi="Times New Roman" w:cs="Times New Roman"/>
                <w:sz w:val="20"/>
                <w:lang w:val="zh-CN" w:eastAsia="en-US"/>
              </w:rPr>
              <w:t>[-8</w:t>
            </w:r>
            <w:r>
              <w:rPr>
                <w:rFonts w:hint="eastAsia" w:eastAsia="宋体" w:cs="Times New Roman"/>
                <w:sz w:val="20"/>
                <w:lang w:val="en-US" w:eastAsia="zh-CN"/>
              </w:rPr>
              <w:t>2</w:t>
            </w:r>
            <w:r>
              <w:rPr>
                <w:rFonts w:ascii="Times New Roman" w:hAnsi="Times New Roman" w:cs="Times New Roman"/>
                <w:sz w:val="20"/>
                <w:lang w:val="zh-CN" w:eastAsia="en-US"/>
              </w:rPr>
              <w:t>.6]</w:t>
            </w:r>
          </w:p>
        </w:tc>
        <w:tc>
          <w:tcPr>
            <w:tcW w:w="1971"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9</w:t>
            </w:r>
            <w:r>
              <w:rPr>
                <w:rFonts w:ascii="Times New Roman" w:hAnsi="Times New Roman" w:cs="Times New Roman"/>
                <w:sz w:val="20"/>
                <w:lang w:val="zh-CN" w:eastAsia="en-US"/>
              </w:rPr>
              <w:t>.6]</w:t>
            </w:r>
          </w:p>
        </w:tc>
        <w:tc>
          <w:tcPr>
            <w:tcW w:w="1372" w:type="dxa"/>
            <w:shd w:val="clear" w:color="auto" w:fill="auto"/>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6</w:t>
            </w:r>
            <w:r>
              <w:rPr>
                <w:rFonts w:ascii="Times New Roman" w:hAnsi="Times New Roman" w:cs="Times New Roman"/>
                <w:sz w:val="20"/>
                <w:lang w:val="zh-CN" w:eastAsia="en-US"/>
              </w:rPr>
              <w:t>.6]</w:t>
            </w:r>
          </w:p>
        </w:tc>
        <w:tc>
          <w:tcPr>
            <w:tcW w:w="1553"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3</w:t>
            </w:r>
            <w:r>
              <w:rPr>
                <w:rFonts w:ascii="Times New Roman" w:hAnsi="Times New Roman" w:cs="Times New Roman"/>
                <w:sz w:val="20"/>
                <w:lang w:val="zh-CN"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keepNext/>
              <w:keepLines/>
              <w:spacing w:after="0"/>
              <w:jc w:val="center"/>
              <w:rPr>
                <w:rFonts w:ascii="Times New Roman" w:hAnsi="Times New Roman" w:cs="Times New Roman"/>
                <w:sz w:val="20"/>
                <w:lang w:val="zh-CN" w:eastAsia="en-US"/>
              </w:rPr>
            </w:pPr>
            <w:r>
              <w:rPr>
                <w:rFonts w:ascii="Times New Roman" w:hAnsi="Times New Roman" w:cs="Times New Roman"/>
                <w:sz w:val="20"/>
                <w:lang w:eastAsia="en-US"/>
              </w:rPr>
              <w:t>n258</w:t>
            </w:r>
          </w:p>
        </w:tc>
        <w:tc>
          <w:tcPr>
            <w:tcW w:w="1517" w:type="dxa"/>
            <w:shd w:val="clear" w:color="auto" w:fill="auto"/>
            <w:vAlign w:val="bottom"/>
          </w:tcPr>
          <w:p>
            <w:pPr>
              <w:keepNext/>
              <w:keepLines/>
              <w:spacing w:after="0"/>
              <w:jc w:val="center"/>
              <w:rPr>
                <w:rFonts w:ascii="Times New Roman" w:hAnsi="Times New Roman" w:cs="Times New Roman"/>
                <w:sz w:val="20"/>
                <w:lang w:val="zh-CN" w:eastAsia="en-US"/>
              </w:rPr>
            </w:pPr>
            <w:r>
              <w:rPr>
                <w:rFonts w:ascii="Times New Roman" w:hAnsi="Times New Roman" w:cs="Times New Roman"/>
                <w:sz w:val="20"/>
                <w:lang w:val="zh-CN" w:eastAsia="en-US"/>
              </w:rPr>
              <w:t>[-8</w:t>
            </w:r>
            <w:r>
              <w:rPr>
                <w:rFonts w:hint="eastAsia" w:eastAsia="宋体" w:cs="Times New Roman"/>
                <w:sz w:val="20"/>
                <w:lang w:val="en-US" w:eastAsia="zh-CN"/>
              </w:rPr>
              <w:t>2</w:t>
            </w:r>
            <w:r>
              <w:rPr>
                <w:rFonts w:ascii="Times New Roman" w:hAnsi="Times New Roman" w:cs="Times New Roman"/>
                <w:sz w:val="20"/>
                <w:lang w:val="zh-CN" w:eastAsia="en-US"/>
              </w:rPr>
              <w:t>.8]</w:t>
            </w:r>
          </w:p>
        </w:tc>
        <w:tc>
          <w:tcPr>
            <w:tcW w:w="1971"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9</w:t>
            </w:r>
            <w:r>
              <w:rPr>
                <w:rFonts w:ascii="Times New Roman" w:hAnsi="Times New Roman" w:cs="Times New Roman"/>
                <w:sz w:val="20"/>
                <w:lang w:val="zh-CN" w:eastAsia="en-US"/>
              </w:rPr>
              <w:t>.8]</w:t>
            </w:r>
          </w:p>
        </w:tc>
        <w:tc>
          <w:tcPr>
            <w:tcW w:w="1372" w:type="dxa"/>
            <w:shd w:val="clear" w:color="auto" w:fill="auto"/>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6</w:t>
            </w:r>
            <w:r>
              <w:rPr>
                <w:rFonts w:ascii="Times New Roman" w:hAnsi="Times New Roman" w:cs="Times New Roman"/>
                <w:sz w:val="20"/>
                <w:lang w:val="zh-CN" w:eastAsia="en-US"/>
              </w:rPr>
              <w:t>.8]</w:t>
            </w:r>
          </w:p>
        </w:tc>
        <w:tc>
          <w:tcPr>
            <w:tcW w:w="1553"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3</w:t>
            </w:r>
            <w:r>
              <w:rPr>
                <w:rFonts w:ascii="Times New Roman" w:hAnsi="Times New Roman" w:cs="Times New Roman"/>
                <w:sz w:val="20"/>
                <w:lang w:val="zh-CN"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keepNext/>
              <w:keepLines/>
              <w:spacing w:after="0"/>
              <w:jc w:val="center"/>
              <w:rPr>
                <w:rFonts w:ascii="Times New Roman" w:hAnsi="Times New Roman" w:cs="Times New Roman"/>
                <w:sz w:val="20"/>
                <w:lang w:eastAsia="en-US"/>
              </w:rPr>
            </w:pPr>
            <w:r>
              <w:rPr>
                <w:rFonts w:ascii="Times New Roman" w:hAnsi="Times New Roman" w:cs="Times New Roman"/>
                <w:sz w:val="20"/>
                <w:lang w:eastAsia="en-US"/>
              </w:rPr>
              <w:t>n261</w:t>
            </w:r>
          </w:p>
        </w:tc>
        <w:tc>
          <w:tcPr>
            <w:tcW w:w="1517" w:type="dxa"/>
            <w:shd w:val="clear" w:color="auto" w:fill="auto"/>
            <w:vAlign w:val="bottom"/>
          </w:tcPr>
          <w:p>
            <w:pPr>
              <w:keepNext/>
              <w:keepLines/>
              <w:spacing w:after="0"/>
              <w:jc w:val="center"/>
              <w:rPr>
                <w:rFonts w:ascii="Times New Roman" w:hAnsi="Times New Roman" w:cs="Times New Roman"/>
                <w:sz w:val="20"/>
                <w:lang w:val="zh-CN" w:eastAsia="en-US"/>
              </w:rPr>
            </w:pPr>
            <w:r>
              <w:rPr>
                <w:rFonts w:ascii="Times New Roman" w:hAnsi="Times New Roman" w:cs="Times New Roman"/>
                <w:sz w:val="20"/>
                <w:lang w:val="zh-CN" w:eastAsia="en-US"/>
              </w:rPr>
              <w:t>[-8</w:t>
            </w:r>
            <w:r>
              <w:rPr>
                <w:rFonts w:hint="eastAsia" w:eastAsia="宋体" w:cs="Times New Roman"/>
                <w:sz w:val="20"/>
                <w:lang w:val="en-US" w:eastAsia="zh-CN"/>
              </w:rPr>
              <w:t>2</w:t>
            </w:r>
            <w:r>
              <w:rPr>
                <w:rFonts w:ascii="Times New Roman" w:hAnsi="Times New Roman" w:cs="Times New Roman"/>
                <w:sz w:val="20"/>
                <w:lang w:val="zh-CN" w:eastAsia="en-US"/>
              </w:rPr>
              <w:t>.6]</w:t>
            </w:r>
          </w:p>
        </w:tc>
        <w:tc>
          <w:tcPr>
            <w:tcW w:w="1971"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9</w:t>
            </w:r>
            <w:r>
              <w:rPr>
                <w:rFonts w:ascii="Times New Roman" w:hAnsi="Times New Roman" w:cs="Times New Roman"/>
                <w:sz w:val="20"/>
                <w:lang w:val="zh-CN" w:eastAsia="en-US"/>
              </w:rPr>
              <w:t>.6]</w:t>
            </w:r>
          </w:p>
        </w:tc>
        <w:tc>
          <w:tcPr>
            <w:tcW w:w="1372" w:type="dxa"/>
            <w:shd w:val="clear" w:color="auto" w:fill="auto"/>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6</w:t>
            </w:r>
            <w:r>
              <w:rPr>
                <w:rFonts w:ascii="Times New Roman" w:hAnsi="Times New Roman" w:cs="Times New Roman"/>
                <w:sz w:val="20"/>
                <w:lang w:val="zh-CN" w:eastAsia="en-US"/>
              </w:rPr>
              <w:t>.6]</w:t>
            </w:r>
          </w:p>
        </w:tc>
        <w:tc>
          <w:tcPr>
            <w:tcW w:w="1553"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3</w:t>
            </w:r>
            <w:r>
              <w:rPr>
                <w:rFonts w:ascii="Times New Roman" w:hAnsi="Times New Roman" w:cs="Times New Roman"/>
                <w:sz w:val="20"/>
                <w:lang w:val="zh-CN"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3" w:type="dxa"/>
            <w:gridSpan w:val="5"/>
            <w:shd w:val="clear" w:color="auto" w:fill="auto"/>
          </w:tcPr>
          <w:p>
            <w:pPr>
              <w:keepNext/>
              <w:keepLines/>
              <w:spacing w:after="0"/>
              <w:ind w:left="851" w:hanging="851"/>
              <w:rPr>
                <w:rFonts w:ascii="Times New Roman" w:hAnsi="Times New Roman" w:eastAsia="Malgun Gothic" w:cs="Times New Roman"/>
                <w:sz w:val="20"/>
                <w:lang w:eastAsia="en-US"/>
              </w:rPr>
            </w:pPr>
            <w:r>
              <w:rPr>
                <w:rFonts w:ascii="Times New Roman" w:hAnsi="Times New Roman" w:eastAsia="Malgun Gothic" w:cs="Times New Roman"/>
                <w:sz w:val="20"/>
                <w:lang w:eastAsia="en-US"/>
              </w:rPr>
              <w:t>NOTE 1:</w:t>
            </w:r>
            <w:r>
              <w:rPr>
                <w:rFonts w:ascii="Times New Roman" w:hAnsi="Times New Roman" w:eastAsia="Malgun Gothic" w:cs="Times New Roman"/>
                <w:sz w:val="20"/>
                <w:lang w:eastAsia="en-US"/>
              </w:rPr>
              <w:tab/>
            </w:r>
            <w:r>
              <w:rPr>
                <w:rFonts w:ascii="Times New Roman" w:hAnsi="Times New Roman" w:eastAsia="Malgun Gothic" w:cs="Times New Roman"/>
                <w:sz w:val="20"/>
                <w:lang w:eastAsia="en-US"/>
              </w:rPr>
              <w:t>The transmitter shall be set to P</w:t>
            </w:r>
            <w:r>
              <w:rPr>
                <w:rFonts w:ascii="Times New Roman" w:hAnsi="Times New Roman" w:eastAsia="Malgun Gothic" w:cs="Times New Roman"/>
                <w:sz w:val="20"/>
                <w:vertAlign w:val="subscript"/>
                <w:lang w:eastAsia="en-US"/>
              </w:rPr>
              <w:t>UMAX</w:t>
            </w:r>
            <w:r>
              <w:rPr>
                <w:rFonts w:ascii="Times New Roman" w:hAnsi="Times New Roman" w:eastAsia="Malgun Gothic" w:cs="Times New Roman"/>
                <w:sz w:val="20"/>
                <w:lang w:eastAsia="en-US"/>
              </w:rPr>
              <w:t xml:space="preserve"> as defined in clause 6.2.4</w:t>
            </w:r>
          </w:p>
          <w:p>
            <w:pPr>
              <w:keepNext/>
              <w:keepLines/>
              <w:spacing w:after="0"/>
              <w:ind w:left="851" w:hanging="851"/>
              <w:rPr>
                <w:rFonts w:ascii="Times New Roman" w:hAnsi="Times New Roman" w:eastAsia="Malgun Gothic" w:cs="Times New Roman"/>
                <w:sz w:val="20"/>
                <w:lang w:eastAsia="en-US"/>
              </w:rPr>
            </w:pPr>
            <w:r>
              <w:rPr>
                <w:rFonts w:ascii="Times New Roman" w:hAnsi="Times New Roman" w:eastAsia="Malgun Gothic" w:cs="Times New Roman"/>
                <w:sz w:val="20"/>
                <w:lang w:eastAsia="en-US"/>
              </w:rPr>
              <w:t>NOTE 2:</w:t>
            </w:r>
            <w:r>
              <w:rPr>
                <w:rFonts w:ascii="Times New Roman" w:hAnsi="Times New Roman" w:eastAsia="Malgun Gothic" w:cs="Times New Roman"/>
                <w:sz w:val="20"/>
                <w:lang w:eastAsia="en-US"/>
              </w:rPr>
              <w:tab/>
            </w:r>
            <w:r>
              <w:rPr>
                <w:rFonts w:ascii="Times New Roman" w:hAnsi="Times New Roman" w:eastAsia="Malgun Gothic" w:cs="Times New Roman"/>
                <w:sz w:val="20"/>
                <w:lang w:eastAsia="en-US"/>
              </w:rPr>
              <w:t>The EIS spherical coverage requirements are verified only under normal thermal conditions as defined in Annex E.2.1.</w:t>
            </w:r>
          </w:p>
        </w:tc>
      </w:tr>
    </w:tbl>
    <w:p>
      <w:pPr>
        <w:pStyle w:val="29"/>
        <w:ind w:firstLine="0" w:firstLineChars="0"/>
        <w:rPr>
          <w:rFonts w:hint="default" w:ascii="Times New Roman" w:hAnsi="Times New Roman" w:cs="Times New Roman"/>
          <w:b w:val="0"/>
          <w:i w:val="0"/>
          <w:color w:val="000000"/>
          <w:spacing w:val="0"/>
          <w:kern w:val="0"/>
          <w:sz w:val="20"/>
          <w:szCs w:val="20"/>
          <w:shd w:val="clear" w:fill="FFFFFF"/>
          <w:vertAlign w:val="baseline"/>
          <w:lang w:val="en-US" w:eastAsia="zh-CN" w:bidi="ar"/>
        </w:rPr>
      </w:pPr>
    </w:p>
    <w:p>
      <w:pPr>
        <w:pStyle w:val="29"/>
        <w:ind w:firstLine="0" w:firstLineChars="0"/>
        <w:jc w:val="center"/>
        <w:rPr>
          <w:rFonts w:hint="default" w:ascii="Times New Roman" w:hAnsi="Times New Roman" w:eastAsia="宋体" w:cs="Times New Roman"/>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rPr>
          <w:rFonts w:hint="eastAsia" w:eastAsia="宋体"/>
          <w:bCs/>
          <w:szCs w:val="20"/>
          <w:lang w:eastAsia="zh-CN"/>
        </w:rPr>
      </w:pPr>
      <w:r>
        <w:rPr>
          <w:rFonts w:hint="eastAsia" w:eastAsia="宋体"/>
          <w:bCs/>
          <w:szCs w:val="20"/>
          <w:lang w:eastAsia="zh-CN"/>
        </w:rPr>
        <w:t xml:space="preserve">In this contribution, we provide the following proposal for </w:t>
      </w:r>
      <w:r>
        <w:rPr>
          <w:rFonts w:hint="eastAsia" w:eastAsia="宋体"/>
          <w:szCs w:val="20"/>
          <w:lang w:val="en-US" w:eastAsia="zh-CN"/>
        </w:rPr>
        <w:t>spherical coverage for HST_FR2</w:t>
      </w:r>
      <w:r>
        <w:rPr>
          <w:rFonts w:hint="eastAsia" w:eastAsia="宋体"/>
          <w:bCs/>
          <w:szCs w:val="20"/>
          <w:lang w:eastAsia="zh-CN"/>
        </w:rPr>
        <w:t>:</w:t>
      </w:r>
    </w:p>
    <w:p>
      <w:pPr>
        <w:pStyle w:val="29"/>
        <w:suppressAutoHyphens/>
        <w:ind w:firstLine="0" w:firstLineChars="0"/>
        <w:rPr>
          <w:rFonts w:hint="eastAsia" w:ascii="Times New Roman" w:hAnsi="Times New Roman"/>
          <w:b/>
          <w:kern w:val="0"/>
          <w:sz w:val="20"/>
          <w:szCs w:val="20"/>
          <w:lang w:val="en-US" w:eastAsia="zh-CN"/>
        </w:rPr>
      </w:pPr>
      <w:r>
        <w:rPr>
          <w:rFonts w:hint="eastAsia" w:ascii="Times New Roman" w:hAnsi="Times New Roman"/>
          <w:b/>
          <w:kern w:val="0"/>
          <w:sz w:val="20"/>
          <w:szCs w:val="20"/>
          <w:lang w:val="en-US" w:eastAsia="zh-CN"/>
        </w:rPr>
        <w:t>Proposal 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To consider the following values for EIS requirements.</w:t>
      </w:r>
    </w:p>
    <w:tbl>
      <w:tblPr>
        <w:tblStyle w:val="17"/>
        <w:tblW w:w="0" w:type="auto"/>
        <w:tblInd w:w="1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1517"/>
        <w:gridCol w:w="1971"/>
        <w:gridCol w:w="1372"/>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vMerge w:val="restart"/>
            <w:shd w:val="clear" w:color="auto" w:fill="auto"/>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Operating band</w:t>
            </w:r>
          </w:p>
        </w:tc>
        <w:tc>
          <w:tcPr>
            <w:tcW w:w="6413" w:type="dxa"/>
            <w:gridSpan w:val="4"/>
            <w:shd w:val="clear" w:color="auto" w:fill="auto"/>
            <w:vAlign w:val="center"/>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Max EIS over UE spherical coverage evaluation areas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vMerge w:val="continue"/>
            <w:shd w:val="clear" w:color="auto" w:fill="auto"/>
          </w:tcPr>
          <w:p>
            <w:pPr>
              <w:keepNext/>
              <w:keepLines/>
              <w:spacing w:after="0"/>
              <w:jc w:val="center"/>
              <w:rPr>
                <w:rFonts w:ascii="Times New Roman" w:hAnsi="Times New Roman" w:eastAsia="Malgun Gothic" w:cs="Times New Roman"/>
                <w:b/>
                <w:sz w:val="20"/>
                <w:lang w:eastAsia="en-US"/>
              </w:rPr>
            </w:pPr>
          </w:p>
        </w:tc>
        <w:tc>
          <w:tcPr>
            <w:tcW w:w="1517" w:type="dxa"/>
            <w:shd w:val="clear" w:color="auto" w:fill="auto"/>
            <w:vAlign w:val="center"/>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50 MHz</w:t>
            </w:r>
          </w:p>
        </w:tc>
        <w:tc>
          <w:tcPr>
            <w:tcW w:w="1971" w:type="dxa"/>
            <w:shd w:val="clear" w:color="auto" w:fill="auto"/>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100 MHz</w:t>
            </w:r>
          </w:p>
        </w:tc>
        <w:tc>
          <w:tcPr>
            <w:tcW w:w="1372" w:type="dxa"/>
            <w:shd w:val="clear" w:color="auto" w:fill="auto"/>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200 MHz</w:t>
            </w:r>
          </w:p>
        </w:tc>
        <w:tc>
          <w:tcPr>
            <w:tcW w:w="1553" w:type="dxa"/>
            <w:shd w:val="clear" w:color="auto" w:fill="auto"/>
          </w:tcPr>
          <w:p>
            <w:pPr>
              <w:keepNext/>
              <w:keepLines/>
              <w:spacing w:after="0"/>
              <w:jc w:val="center"/>
              <w:rPr>
                <w:rFonts w:ascii="Times New Roman" w:hAnsi="Times New Roman" w:eastAsia="Malgun Gothic" w:cs="Times New Roman"/>
                <w:b/>
                <w:sz w:val="20"/>
                <w:lang w:eastAsia="en-US"/>
              </w:rPr>
            </w:pPr>
            <w:r>
              <w:rPr>
                <w:rFonts w:ascii="Times New Roman" w:hAnsi="Times New Roman" w:eastAsia="Malgun Gothic" w:cs="Times New Roman"/>
                <w:b/>
                <w:sz w:val="20"/>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keepNext/>
              <w:keepLines/>
              <w:spacing w:after="0"/>
              <w:jc w:val="center"/>
              <w:rPr>
                <w:rFonts w:ascii="Times New Roman" w:hAnsi="Times New Roman" w:cs="Times New Roman"/>
                <w:sz w:val="20"/>
                <w:lang w:val="zh-CN" w:eastAsia="en-US"/>
              </w:rPr>
            </w:pPr>
            <w:r>
              <w:rPr>
                <w:rFonts w:ascii="Times New Roman" w:hAnsi="Times New Roman" w:cs="Times New Roman"/>
                <w:sz w:val="20"/>
                <w:lang w:val="zh-CN" w:eastAsia="en-US"/>
              </w:rPr>
              <w:t>n257</w:t>
            </w:r>
          </w:p>
        </w:tc>
        <w:tc>
          <w:tcPr>
            <w:tcW w:w="1517" w:type="dxa"/>
            <w:shd w:val="clear" w:color="auto" w:fill="auto"/>
            <w:vAlign w:val="bottom"/>
          </w:tcPr>
          <w:p>
            <w:pPr>
              <w:keepNext/>
              <w:keepLines/>
              <w:spacing w:after="0"/>
              <w:jc w:val="center"/>
              <w:rPr>
                <w:rFonts w:ascii="Times New Roman" w:hAnsi="Times New Roman" w:cs="Times New Roman"/>
                <w:sz w:val="20"/>
                <w:lang w:val="zh-CN" w:eastAsia="en-US"/>
              </w:rPr>
            </w:pPr>
            <w:r>
              <w:rPr>
                <w:rFonts w:ascii="Times New Roman" w:hAnsi="Times New Roman" w:cs="Times New Roman"/>
                <w:sz w:val="20"/>
                <w:lang w:val="zh-CN" w:eastAsia="en-US"/>
              </w:rPr>
              <w:t>[-8</w:t>
            </w:r>
            <w:r>
              <w:rPr>
                <w:rFonts w:hint="eastAsia" w:eastAsia="宋体" w:cs="Times New Roman"/>
                <w:sz w:val="20"/>
                <w:lang w:val="en-US" w:eastAsia="zh-CN"/>
              </w:rPr>
              <w:t>2</w:t>
            </w:r>
            <w:r>
              <w:rPr>
                <w:rFonts w:ascii="Times New Roman" w:hAnsi="Times New Roman" w:cs="Times New Roman"/>
                <w:sz w:val="20"/>
                <w:lang w:val="zh-CN" w:eastAsia="en-US"/>
              </w:rPr>
              <w:t>.6]</w:t>
            </w:r>
          </w:p>
        </w:tc>
        <w:tc>
          <w:tcPr>
            <w:tcW w:w="1971"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9</w:t>
            </w:r>
            <w:r>
              <w:rPr>
                <w:rFonts w:ascii="Times New Roman" w:hAnsi="Times New Roman" w:cs="Times New Roman"/>
                <w:sz w:val="20"/>
                <w:lang w:val="zh-CN" w:eastAsia="en-US"/>
              </w:rPr>
              <w:t>.6]</w:t>
            </w:r>
          </w:p>
        </w:tc>
        <w:tc>
          <w:tcPr>
            <w:tcW w:w="1372" w:type="dxa"/>
            <w:shd w:val="clear" w:color="auto" w:fill="auto"/>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6</w:t>
            </w:r>
            <w:r>
              <w:rPr>
                <w:rFonts w:ascii="Times New Roman" w:hAnsi="Times New Roman" w:cs="Times New Roman"/>
                <w:sz w:val="20"/>
                <w:lang w:val="zh-CN" w:eastAsia="en-US"/>
              </w:rPr>
              <w:t>.6]</w:t>
            </w:r>
          </w:p>
        </w:tc>
        <w:tc>
          <w:tcPr>
            <w:tcW w:w="1553"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3</w:t>
            </w:r>
            <w:r>
              <w:rPr>
                <w:rFonts w:ascii="Times New Roman" w:hAnsi="Times New Roman" w:cs="Times New Roman"/>
                <w:sz w:val="20"/>
                <w:lang w:val="zh-CN"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keepNext/>
              <w:keepLines/>
              <w:spacing w:after="0"/>
              <w:jc w:val="center"/>
              <w:rPr>
                <w:rFonts w:ascii="Times New Roman" w:hAnsi="Times New Roman" w:cs="Times New Roman"/>
                <w:sz w:val="20"/>
                <w:lang w:val="zh-CN" w:eastAsia="en-US"/>
              </w:rPr>
            </w:pPr>
            <w:r>
              <w:rPr>
                <w:rFonts w:ascii="Times New Roman" w:hAnsi="Times New Roman" w:cs="Times New Roman"/>
                <w:sz w:val="20"/>
                <w:lang w:eastAsia="en-US"/>
              </w:rPr>
              <w:t>n258</w:t>
            </w:r>
          </w:p>
        </w:tc>
        <w:tc>
          <w:tcPr>
            <w:tcW w:w="1517" w:type="dxa"/>
            <w:shd w:val="clear" w:color="auto" w:fill="auto"/>
            <w:vAlign w:val="bottom"/>
          </w:tcPr>
          <w:p>
            <w:pPr>
              <w:keepNext/>
              <w:keepLines/>
              <w:spacing w:after="0"/>
              <w:jc w:val="center"/>
              <w:rPr>
                <w:rFonts w:ascii="Times New Roman" w:hAnsi="Times New Roman" w:cs="Times New Roman"/>
                <w:sz w:val="20"/>
                <w:lang w:val="zh-CN" w:eastAsia="en-US"/>
              </w:rPr>
            </w:pPr>
            <w:r>
              <w:rPr>
                <w:rFonts w:ascii="Times New Roman" w:hAnsi="Times New Roman" w:cs="Times New Roman"/>
                <w:sz w:val="20"/>
                <w:lang w:val="zh-CN" w:eastAsia="en-US"/>
              </w:rPr>
              <w:t>[-8</w:t>
            </w:r>
            <w:r>
              <w:rPr>
                <w:rFonts w:hint="eastAsia" w:eastAsia="宋体" w:cs="Times New Roman"/>
                <w:sz w:val="20"/>
                <w:lang w:val="en-US" w:eastAsia="zh-CN"/>
              </w:rPr>
              <w:t>2</w:t>
            </w:r>
            <w:r>
              <w:rPr>
                <w:rFonts w:ascii="Times New Roman" w:hAnsi="Times New Roman" w:cs="Times New Roman"/>
                <w:sz w:val="20"/>
                <w:lang w:val="zh-CN" w:eastAsia="en-US"/>
              </w:rPr>
              <w:t>.8]</w:t>
            </w:r>
          </w:p>
        </w:tc>
        <w:tc>
          <w:tcPr>
            <w:tcW w:w="1971"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9</w:t>
            </w:r>
            <w:r>
              <w:rPr>
                <w:rFonts w:ascii="Times New Roman" w:hAnsi="Times New Roman" w:cs="Times New Roman"/>
                <w:sz w:val="20"/>
                <w:lang w:val="zh-CN" w:eastAsia="en-US"/>
              </w:rPr>
              <w:t>.8]</w:t>
            </w:r>
          </w:p>
        </w:tc>
        <w:tc>
          <w:tcPr>
            <w:tcW w:w="1372" w:type="dxa"/>
            <w:shd w:val="clear" w:color="auto" w:fill="auto"/>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6</w:t>
            </w:r>
            <w:r>
              <w:rPr>
                <w:rFonts w:ascii="Times New Roman" w:hAnsi="Times New Roman" w:cs="Times New Roman"/>
                <w:sz w:val="20"/>
                <w:lang w:val="zh-CN" w:eastAsia="en-US"/>
              </w:rPr>
              <w:t>.8]</w:t>
            </w:r>
          </w:p>
        </w:tc>
        <w:tc>
          <w:tcPr>
            <w:tcW w:w="1553"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3</w:t>
            </w:r>
            <w:r>
              <w:rPr>
                <w:rFonts w:ascii="Times New Roman" w:hAnsi="Times New Roman" w:cs="Times New Roman"/>
                <w:sz w:val="20"/>
                <w:lang w:val="zh-CN"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shd w:val="clear" w:color="auto" w:fill="auto"/>
          </w:tcPr>
          <w:p>
            <w:pPr>
              <w:keepNext/>
              <w:keepLines/>
              <w:spacing w:after="0"/>
              <w:jc w:val="center"/>
              <w:rPr>
                <w:rFonts w:ascii="Times New Roman" w:hAnsi="Times New Roman" w:cs="Times New Roman"/>
                <w:sz w:val="20"/>
                <w:lang w:eastAsia="en-US"/>
              </w:rPr>
            </w:pPr>
            <w:r>
              <w:rPr>
                <w:rFonts w:ascii="Times New Roman" w:hAnsi="Times New Roman" w:cs="Times New Roman"/>
                <w:sz w:val="20"/>
                <w:lang w:eastAsia="en-US"/>
              </w:rPr>
              <w:t>n261</w:t>
            </w:r>
          </w:p>
        </w:tc>
        <w:tc>
          <w:tcPr>
            <w:tcW w:w="1517" w:type="dxa"/>
            <w:shd w:val="clear" w:color="auto" w:fill="auto"/>
            <w:vAlign w:val="bottom"/>
          </w:tcPr>
          <w:p>
            <w:pPr>
              <w:keepNext/>
              <w:keepLines/>
              <w:spacing w:after="0"/>
              <w:jc w:val="center"/>
              <w:rPr>
                <w:rFonts w:ascii="Times New Roman" w:hAnsi="Times New Roman" w:cs="Times New Roman"/>
                <w:sz w:val="20"/>
                <w:lang w:val="zh-CN" w:eastAsia="en-US"/>
              </w:rPr>
            </w:pPr>
            <w:r>
              <w:rPr>
                <w:rFonts w:ascii="Times New Roman" w:hAnsi="Times New Roman" w:cs="Times New Roman"/>
                <w:sz w:val="20"/>
                <w:lang w:val="zh-CN" w:eastAsia="en-US"/>
              </w:rPr>
              <w:t>[-8</w:t>
            </w:r>
            <w:r>
              <w:rPr>
                <w:rFonts w:hint="eastAsia" w:eastAsia="宋体" w:cs="Times New Roman"/>
                <w:sz w:val="20"/>
                <w:lang w:val="en-US" w:eastAsia="zh-CN"/>
              </w:rPr>
              <w:t>2</w:t>
            </w:r>
            <w:r>
              <w:rPr>
                <w:rFonts w:ascii="Times New Roman" w:hAnsi="Times New Roman" w:cs="Times New Roman"/>
                <w:sz w:val="20"/>
                <w:lang w:val="zh-CN" w:eastAsia="en-US"/>
              </w:rPr>
              <w:t>.6]</w:t>
            </w:r>
          </w:p>
        </w:tc>
        <w:tc>
          <w:tcPr>
            <w:tcW w:w="1971"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9</w:t>
            </w:r>
            <w:r>
              <w:rPr>
                <w:rFonts w:ascii="Times New Roman" w:hAnsi="Times New Roman" w:cs="Times New Roman"/>
                <w:sz w:val="20"/>
                <w:lang w:val="zh-CN" w:eastAsia="en-US"/>
              </w:rPr>
              <w:t>.6]</w:t>
            </w:r>
          </w:p>
        </w:tc>
        <w:tc>
          <w:tcPr>
            <w:tcW w:w="1372" w:type="dxa"/>
            <w:shd w:val="clear" w:color="auto" w:fill="auto"/>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6</w:t>
            </w:r>
            <w:r>
              <w:rPr>
                <w:rFonts w:ascii="Times New Roman" w:hAnsi="Times New Roman" w:cs="Times New Roman"/>
                <w:sz w:val="20"/>
                <w:lang w:val="zh-CN" w:eastAsia="en-US"/>
              </w:rPr>
              <w:t>.6]</w:t>
            </w:r>
          </w:p>
        </w:tc>
        <w:tc>
          <w:tcPr>
            <w:tcW w:w="1553" w:type="dxa"/>
            <w:shd w:val="clear" w:color="auto" w:fill="auto"/>
            <w:vAlign w:val="bottom"/>
          </w:tcPr>
          <w:p>
            <w:pPr>
              <w:keepNext/>
              <w:keepLines/>
              <w:spacing w:after="0"/>
              <w:jc w:val="center"/>
              <w:rPr>
                <w:rFonts w:ascii="Times New Roman" w:hAnsi="Times New Roman" w:cs="Times New Roman"/>
                <w:sz w:val="20"/>
                <w:lang w:val="zh-CN"/>
              </w:rPr>
            </w:pPr>
            <w:r>
              <w:rPr>
                <w:rFonts w:ascii="Times New Roman" w:hAnsi="Times New Roman" w:cs="Times New Roman"/>
                <w:sz w:val="20"/>
                <w:lang w:val="zh-CN" w:eastAsia="en-US"/>
              </w:rPr>
              <w:t>[-7</w:t>
            </w:r>
            <w:r>
              <w:rPr>
                <w:rFonts w:hint="eastAsia" w:eastAsia="宋体" w:cs="Times New Roman"/>
                <w:sz w:val="20"/>
                <w:lang w:val="en-US" w:eastAsia="zh-CN"/>
              </w:rPr>
              <w:t>3</w:t>
            </w:r>
            <w:r>
              <w:rPr>
                <w:rFonts w:ascii="Times New Roman" w:hAnsi="Times New Roman" w:cs="Times New Roman"/>
                <w:sz w:val="20"/>
                <w:lang w:val="zh-CN"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3" w:type="dxa"/>
            <w:gridSpan w:val="5"/>
            <w:shd w:val="clear" w:color="auto" w:fill="auto"/>
          </w:tcPr>
          <w:p>
            <w:pPr>
              <w:keepNext/>
              <w:keepLines/>
              <w:spacing w:after="0"/>
              <w:ind w:left="851" w:hanging="851"/>
              <w:rPr>
                <w:rFonts w:ascii="Times New Roman" w:hAnsi="Times New Roman" w:eastAsia="Malgun Gothic" w:cs="Times New Roman"/>
                <w:sz w:val="20"/>
                <w:lang w:eastAsia="en-US"/>
              </w:rPr>
            </w:pPr>
            <w:r>
              <w:rPr>
                <w:rFonts w:ascii="Times New Roman" w:hAnsi="Times New Roman" w:eastAsia="Malgun Gothic" w:cs="Times New Roman"/>
                <w:sz w:val="20"/>
                <w:lang w:eastAsia="en-US"/>
              </w:rPr>
              <w:t>NOTE 1:</w:t>
            </w:r>
            <w:r>
              <w:rPr>
                <w:rFonts w:ascii="Times New Roman" w:hAnsi="Times New Roman" w:eastAsia="Malgun Gothic" w:cs="Times New Roman"/>
                <w:sz w:val="20"/>
                <w:lang w:eastAsia="en-US"/>
              </w:rPr>
              <w:tab/>
            </w:r>
            <w:r>
              <w:rPr>
                <w:rFonts w:ascii="Times New Roman" w:hAnsi="Times New Roman" w:eastAsia="Malgun Gothic" w:cs="Times New Roman"/>
                <w:sz w:val="20"/>
                <w:lang w:eastAsia="en-US"/>
              </w:rPr>
              <w:t>The transmitter shall be set to P</w:t>
            </w:r>
            <w:r>
              <w:rPr>
                <w:rFonts w:ascii="Times New Roman" w:hAnsi="Times New Roman" w:eastAsia="Malgun Gothic" w:cs="Times New Roman"/>
                <w:sz w:val="20"/>
                <w:vertAlign w:val="subscript"/>
                <w:lang w:eastAsia="en-US"/>
              </w:rPr>
              <w:t>UMAX</w:t>
            </w:r>
            <w:r>
              <w:rPr>
                <w:rFonts w:ascii="Times New Roman" w:hAnsi="Times New Roman" w:eastAsia="Malgun Gothic" w:cs="Times New Roman"/>
                <w:sz w:val="20"/>
                <w:lang w:eastAsia="en-US"/>
              </w:rPr>
              <w:t xml:space="preserve"> as defined in clause 6.2.4</w:t>
            </w:r>
          </w:p>
          <w:p>
            <w:pPr>
              <w:keepNext/>
              <w:keepLines/>
              <w:spacing w:after="0"/>
              <w:ind w:left="851" w:hanging="851"/>
              <w:rPr>
                <w:rFonts w:ascii="Times New Roman" w:hAnsi="Times New Roman" w:eastAsia="Malgun Gothic" w:cs="Times New Roman"/>
                <w:sz w:val="20"/>
                <w:lang w:eastAsia="en-US"/>
              </w:rPr>
            </w:pPr>
            <w:r>
              <w:rPr>
                <w:rFonts w:ascii="Times New Roman" w:hAnsi="Times New Roman" w:eastAsia="Malgun Gothic" w:cs="Times New Roman"/>
                <w:sz w:val="20"/>
                <w:lang w:eastAsia="en-US"/>
              </w:rPr>
              <w:t>NOTE 2:</w:t>
            </w:r>
            <w:r>
              <w:rPr>
                <w:rFonts w:ascii="Times New Roman" w:hAnsi="Times New Roman" w:eastAsia="Malgun Gothic" w:cs="Times New Roman"/>
                <w:sz w:val="20"/>
                <w:lang w:eastAsia="en-US"/>
              </w:rPr>
              <w:tab/>
            </w:r>
            <w:r>
              <w:rPr>
                <w:rFonts w:ascii="Times New Roman" w:hAnsi="Times New Roman" w:eastAsia="Malgun Gothic" w:cs="Times New Roman"/>
                <w:sz w:val="20"/>
                <w:lang w:eastAsia="en-US"/>
              </w:rPr>
              <w:t>The EIS spherical coverage requirements are verified only under normal thermal conditions as defined in Annex E.2.1.</w:t>
            </w:r>
          </w:p>
        </w:tc>
      </w:tr>
    </w:tbl>
    <w:p>
      <w:pPr>
        <w:rPr>
          <w:b/>
          <w:szCs w:val="20"/>
          <w:lang w:eastAsia="zh-CN"/>
        </w:rPr>
      </w:pP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lang w:val="en-US"/>
        </w:rPr>
        <w:t>R4-2206520_WF_UE RF_FR2 HST_v00</w:t>
      </w:r>
    </w:p>
    <w:p>
      <w:pPr>
        <w:rPr>
          <w:szCs w:val="20"/>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0"/>
      <w:numFmt w:val="bullet"/>
      <w:lvlText w:val="-"/>
      <w:lvlJc w:val="left"/>
      <w:pPr>
        <w:ind w:left="3816" w:hanging="360"/>
      </w:pPr>
      <w:rPr>
        <w:rFonts w:hint="default" w:ascii="Times New Roman" w:hAnsi="Times New Roman" w:cs="Times New Roman" w:eastAsiaTheme="minorEastAsia"/>
      </w:rPr>
    </w:lvl>
    <w:lvl w:ilvl="5" w:tentative="0">
      <w:start w:val="0"/>
      <w:numFmt w:val="bullet"/>
      <w:lvlText w:val=""/>
      <w:lvlJc w:val="left"/>
      <w:pPr>
        <w:ind w:left="4536" w:hanging="360"/>
      </w:pPr>
      <w:rPr>
        <w:rFonts w:hint="default" w:ascii="Wingdings" w:hAnsi="Wingdings" w:cs="Times New Roman" w:eastAsiaTheme="minorEastAsia"/>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1326"/>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3F97"/>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174"/>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161C"/>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624027"/>
    <w:rsid w:val="01676827"/>
    <w:rsid w:val="018B3BAA"/>
    <w:rsid w:val="01957959"/>
    <w:rsid w:val="01DC1C82"/>
    <w:rsid w:val="020437FB"/>
    <w:rsid w:val="02065A2E"/>
    <w:rsid w:val="020928F5"/>
    <w:rsid w:val="02626E3D"/>
    <w:rsid w:val="027035ED"/>
    <w:rsid w:val="02770E1A"/>
    <w:rsid w:val="0298367A"/>
    <w:rsid w:val="02D254EC"/>
    <w:rsid w:val="02F72239"/>
    <w:rsid w:val="02FE5F82"/>
    <w:rsid w:val="032D5AEE"/>
    <w:rsid w:val="035B11B6"/>
    <w:rsid w:val="03A05508"/>
    <w:rsid w:val="03AB67DC"/>
    <w:rsid w:val="03B52240"/>
    <w:rsid w:val="03C77456"/>
    <w:rsid w:val="043D2559"/>
    <w:rsid w:val="0478015E"/>
    <w:rsid w:val="0526729B"/>
    <w:rsid w:val="05510DD1"/>
    <w:rsid w:val="062A620F"/>
    <w:rsid w:val="064B00B0"/>
    <w:rsid w:val="06654A0B"/>
    <w:rsid w:val="06823D8F"/>
    <w:rsid w:val="07622262"/>
    <w:rsid w:val="07CD3CDD"/>
    <w:rsid w:val="0884066A"/>
    <w:rsid w:val="09240BB6"/>
    <w:rsid w:val="09294F7D"/>
    <w:rsid w:val="09674661"/>
    <w:rsid w:val="097E672F"/>
    <w:rsid w:val="09825F02"/>
    <w:rsid w:val="09922D76"/>
    <w:rsid w:val="09AB6C45"/>
    <w:rsid w:val="09E20449"/>
    <w:rsid w:val="0A2802DC"/>
    <w:rsid w:val="0A731B50"/>
    <w:rsid w:val="0B2E0718"/>
    <w:rsid w:val="0B802D0D"/>
    <w:rsid w:val="0BC176FB"/>
    <w:rsid w:val="0BC70982"/>
    <w:rsid w:val="0BF41031"/>
    <w:rsid w:val="0C953742"/>
    <w:rsid w:val="0CA242EA"/>
    <w:rsid w:val="0D613BA3"/>
    <w:rsid w:val="0D744565"/>
    <w:rsid w:val="0D7F564D"/>
    <w:rsid w:val="0D835665"/>
    <w:rsid w:val="0DE052FE"/>
    <w:rsid w:val="0E3330D0"/>
    <w:rsid w:val="0ECE66B5"/>
    <w:rsid w:val="0ED62F9C"/>
    <w:rsid w:val="0F11785B"/>
    <w:rsid w:val="0F372967"/>
    <w:rsid w:val="0F4B1309"/>
    <w:rsid w:val="0FDA7DDA"/>
    <w:rsid w:val="0FFA1150"/>
    <w:rsid w:val="1013275A"/>
    <w:rsid w:val="10E50FEE"/>
    <w:rsid w:val="112D72C6"/>
    <w:rsid w:val="11A50508"/>
    <w:rsid w:val="120639A8"/>
    <w:rsid w:val="125D4125"/>
    <w:rsid w:val="12AE4121"/>
    <w:rsid w:val="134847CB"/>
    <w:rsid w:val="13583391"/>
    <w:rsid w:val="137F4008"/>
    <w:rsid w:val="13F672DD"/>
    <w:rsid w:val="140C5848"/>
    <w:rsid w:val="141B497D"/>
    <w:rsid w:val="143E38B7"/>
    <w:rsid w:val="144E5CD4"/>
    <w:rsid w:val="15220493"/>
    <w:rsid w:val="157F48AA"/>
    <w:rsid w:val="158F210D"/>
    <w:rsid w:val="15E12A88"/>
    <w:rsid w:val="15E95672"/>
    <w:rsid w:val="16271D63"/>
    <w:rsid w:val="16BD2FB9"/>
    <w:rsid w:val="16C45DCD"/>
    <w:rsid w:val="16D87C95"/>
    <w:rsid w:val="16E7731D"/>
    <w:rsid w:val="175E5C8C"/>
    <w:rsid w:val="179855D1"/>
    <w:rsid w:val="19607D81"/>
    <w:rsid w:val="199503FD"/>
    <w:rsid w:val="19AF5CF6"/>
    <w:rsid w:val="1A3F5603"/>
    <w:rsid w:val="1AA54D0B"/>
    <w:rsid w:val="1AE7540C"/>
    <w:rsid w:val="1B870B5B"/>
    <w:rsid w:val="1BBC09F6"/>
    <w:rsid w:val="1C3672FA"/>
    <w:rsid w:val="1C3A751E"/>
    <w:rsid w:val="1C5D00DA"/>
    <w:rsid w:val="1C7D0C1A"/>
    <w:rsid w:val="1C7E2DD6"/>
    <w:rsid w:val="1CAD4CCB"/>
    <w:rsid w:val="1CC85E58"/>
    <w:rsid w:val="1CCC40C9"/>
    <w:rsid w:val="1CE03029"/>
    <w:rsid w:val="1D186F9D"/>
    <w:rsid w:val="1D882A1C"/>
    <w:rsid w:val="1DA251E1"/>
    <w:rsid w:val="1DA93704"/>
    <w:rsid w:val="1E914287"/>
    <w:rsid w:val="1F295D72"/>
    <w:rsid w:val="1F4325C8"/>
    <w:rsid w:val="1F595BBB"/>
    <w:rsid w:val="1F7C7957"/>
    <w:rsid w:val="1F7E1A3E"/>
    <w:rsid w:val="1FD21E35"/>
    <w:rsid w:val="1FD96681"/>
    <w:rsid w:val="1FE10390"/>
    <w:rsid w:val="1FEE7A9C"/>
    <w:rsid w:val="200E58BD"/>
    <w:rsid w:val="205164A7"/>
    <w:rsid w:val="2090238B"/>
    <w:rsid w:val="20B54C35"/>
    <w:rsid w:val="20BA6502"/>
    <w:rsid w:val="20E1398D"/>
    <w:rsid w:val="20EF3DF7"/>
    <w:rsid w:val="21237421"/>
    <w:rsid w:val="216D7544"/>
    <w:rsid w:val="21B80AA5"/>
    <w:rsid w:val="221703FC"/>
    <w:rsid w:val="225216B5"/>
    <w:rsid w:val="22B37446"/>
    <w:rsid w:val="235408E6"/>
    <w:rsid w:val="235F3EB4"/>
    <w:rsid w:val="239838E3"/>
    <w:rsid w:val="23FD5BE3"/>
    <w:rsid w:val="24386853"/>
    <w:rsid w:val="24715F69"/>
    <w:rsid w:val="249F5850"/>
    <w:rsid w:val="24B140D4"/>
    <w:rsid w:val="24C569C9"/>
    <w:rsid w:val="24CD28B9"/>
    <w:rsid w:val="24F907DC"/>
    <w:rsid w:val="250D35C2"/>
    <w:rsid w:val="252A03F9"/>
    <w:rsid w:val="259B775B"/>
    <w:rsid w:val="25EF43C8"/>
    <w:rsid w:val="25F34BB9"/>
    <w:rsid w:val="26131BE7"/>
    <w:rsid w:val="262E08BF"/>
    <w:rsid w:val="263951B2"/>
    <w:rsid w:val="263E55AD"/>
    <w:rsid w:val="264B37D3"/>
    <w:rsid w:val="26942B96"/>
    <w:rsid w:val="27930B1B"/>
    <w:rsid w:val="283146AB"/>
    <w:rsid w:val="288C6204"/>
    <w:rsid w:val="28A96A0F"/>
    <w:rsid w:val="28EE7A07"/>
    <w:rsid w:val="2953493D"/>
    <w:rsid w:val="2A1E2DE0"/>
    <w:rsid w:val="2A7049D1"/>
    <w:rsid w:val="2AB04251"/>
    <w:rsid w:val="2ABE7215"/>
    <w:rsid w:val="2AE8229B"/>
    <w:rsid w:val="2AEC42E5"/>
    <w:rsid w:val="2B034D47"/>
    <w:rsid w:val="2B641C02"/>
    <w:rsid w:val="2B6F681F"/>
    <w:rsid w:val="2B8302EB"/>
    <w:rsid w:val="2B893BA3"/>
    <w:rsid w:val="2BC82480"/>
    <w:rsid w:val="2BEB375B"/>
    <w:rsid w:val="2C1A5D63"/>
    <w:rsid w:val="2C2907BF"/>
    <w:rsid w:val="2C7E0AEF"/>
    <w:rsid w:val="2C80477B"/>
    <w:rsid w:val="2CA73FE3"/>
    <w:rsid w:val="2CD46AFB"/>
    <w:rsid w:val="2CE15438"/>
    <w:rsid w:val="2D702EC0"/>
    <w:rsid w:val="2D812190"/>
    <w:rsid w:val="2DA94150"/>
    <w:rsid w:val="2E1176AC"/>
    <w:rsid w:val="2E617130"/>
    <w:rsid w:val="2E767E59"/>
    <w:rsid w:val="2ECB7AE0"/>
    <w:rsid w:val="2F0E5D72"/>
    <w:rsid w:val="2F235269"/>
    <w:rsid w:val="2F322289"/>
    <w:rsid w:val="2F4B1C2D"/>
    <w:rsid w:val="2FDC375A"/>
    <w:rsid w:val="2FEE6D4B"/>
    <w:rsid w:val="30571C73"/>
    <w:rsid w:val="30943D7F"/>
    <w:rsid w:val="309C7501"/>
    <w:rsid w:val="313A0372"/>
    <w:rsid w:val="3156248D"/>
    <w:rsid w:val="316C26E3"/>
    <w:rsid w:val="31B6217A"/>
    <w:rsid w:val="31BD4D6E"/>
    <w:rsid w:val="320A024B"/>
    <w:rsid w:val="32305666"/>
    <w:rsid w:val="328D4D87"/>
    <w:rsid w:val="32EC2013"/>
    <w:rsid w:val="33021368"/>
    <w:rsid w:val="33133DBA"/>
    <w:rsid w:val="33491F36"/>
    <w:rsid w:val="33883009"/>
    <w:rsid w:val="346C2BDC"/>
    <w:rsid w:val="34E63221"/>
    <w:rsid w:val="34EA3595"/>
    <w:rsid w:val="34F31159"/>
    <w:rsid w:val="34F61BA3"/>
    <w:rsid w:val="35684E72"/>
    <w:rsid w:val="35D34EB8"/>
    <w:rsid w:val="361A0DD1"/>
    <w:rsid w:val="363A75C1"/>
    <w:rsid w:val="36950F43"/>
    <w:rsid w:val="36F13745"/>
    <w:rsid w:val="37235D83"/>
    <w:rsid w:val="37EF7E95"/>
    <w:rsid w:val="386C1CFB"/>
    <w:rsid w:val="388C38C8"/>
    <w:rsid w:val="388E6306"/>
    <w:rsid w:val="3891144C"/>
    <w:rsid w:val="38E40513"/>
    <w:rsid w:val="393853EE"/>
    <w:rsid w:val="39474FFC"/>
    <w:rsid w:val="39A12E64"/>
    <w:rsid w:val="39E551C2"/>
    <w:rsid w:val="3A985F9F"/>
    <w:rsid w:val="3ACA79CB"/>
    <w:rsid w:val="3ACD696C"/>
    <w:rsid w:val="3AF01FB4"/>
    <w:rsid w:val="3B1A6BBF"/>
    <w:rsid w:val="3B1D04C9"/>
    <w:rsid w:val="3B564493"/>
    <w:rsid w:val="3B68666D"/>
    <w:rsid w:val="3B924465"/>
    <w:rsid w:val="3BA94452"/>
    <w:rsid w:val="3BC526E3"/>
    <w:rsid w:val="3BE64D6A"/>
    <w:rsid w:val="3C6C7288"/>
    <w:rsid w:val="3C8B2EA4"/>
    <w:rsid w:val="3CC85F33"/>
    <w:rsid w:val="3D2A699D"/>
    <w:rsid w:val="3D373F9F"/>
    <w:rsid w:val="3D6F2596"/>
    <w:rsid w:val="3DC16634"/>
    <w:rsid w:val="3E1A5B77"/>
    <w:rsid w:val="3E3D115C"/>
    <w:rsid w:val="3E816ACA"/>
    <w:rsid w:val="3EA540D6"/>
    <w:rsid w:val="3EBA3F51"/>
    <w:rsid w:val="3ED90D52"/>
    <w:rsid w:val="3EFB0DA2"/>
    <w:rsid w:val="3F4371E9"/>
    <w:rsid w:val="3F5B25E2"/>
    <w:rsid w:val="3FBE5D52"/>
    <w:rsid w:val="3FEB354A"/>
    <w:rsid w:val="40273EB3"/>
    <w:rsid w:val="403917EB"/>
    <w:rsid w:val="404F7A6B"/>
    <w:rsid w:val="40705D5D"/>
    <w:rsid w:val="40C765F3"/>
    <w:rsid w:val="41071BAC"/>
    <w:rsid w:val="41256FB7"/>
    <w:rsid w:val="4154071D"/>
    <w:rsid w:val="416E50C0"/>
    <w:rsid w:val="42C843A0"/>
    <w:rsid w:val="42F20CDD"/>
    <w:rsid w:val="433C360D"/>
    <w:rsid w:val="43776349"/>
    <w:rsid w:val="43A46A86"/>
    <w:rsid w:val="43EE5166"/>
    <w:rsid w:val="44B2766E"/>
    <w:rsid w:val="44C82F04"/>
    <w:rsid w:val="453D01E5"/>
    <w:rsid w:val="453D570B"/>
    <w:rsid w:val="45834801"/>
    <w:rsid w:val="458F4D24"/>
    <w:rsid w:val="459C5BD8"/>
    <w:rsid w:val="45B01F58"/>
    <w:rsid w:val="45ED56E7"/>
    <w:rsid w:val="45F60A50"/>
    <w:rsid w:val="465B1E86"/>
    <w:rsid w:val="46C6208F"/>
    <w:rsid w:val="482C6CD1"/>
    <w:rsid w:val="4853345A"/>
    <w:rsid w:val="48845C84"/>
    <w:rsid w:val="489C44D3"/>
    <w:rsid w:val="48F656AE"/>
    <w:rsid w:val="48F82FC3"/>
    <w:rsid w:val="490D3059"/>
    <w:rsid w:val="49500FEB"/>
    <w:rsid w:val="4982678C"/>
    <w:rsid w:val="49F32E1B"/>
    <w:rsid w:val="49FF1C1E"/>
    <w:rsid w:val="4A0B7057"/>
    <w:rsid w:val="4A280667"/>
    <w:rsid w:val="4A511B6E"/>
    <w:rsid w:val="4A7C4548"/>
    <w:rsid w:val="4B5B5B93"/>
    <w:rsid w:val="4B901389"/>
    <w:rsid w:val="4C2C30BE"/>
    <w:rsid w:val="4C3A2A9D"/>
    <w:rsid w:val="4C5D2EB7"/>
    <w:rsid w:val="4C8D7B0E"/>
    <w:rsid w:val="4CBF03D6"/>
    <w:rsid w:val="4D014AEF"/>
    <w:rsid w:val="4D513299"/>
    <w:rsid w:val="4DA22392"/>
    <w:rsid w:val="4DBE5704"/>
    <w:rsid w:val="4DD81DA6"/>
    <w:rsid w:val="4E9A7FF9"/>
    <w:rsid w:val="4EDF702E"/>
    <w:rsid w:val="4EF148C1"/>
    <w:rsid w:val="4F047884"/>
    <w:rsid w:val="4F813AF7"/>
    <w:rsid w:val="4FA47ABF"/>
    <w:rsid w:val="4FBD6EC5"/>
    <w:rsid w:val="4FBF1AB2"/>
    <w:rsid w:val="50150A2D"/>
    <w:rsid w:val="504E5AC6"/>
    <w:rsid w:val="505076EF"/>
    <w:rsid w:val="505F3BD5"/>
    <w:rsid w:val="508A0B34"/>
    <w:rsid w:val="513C5648"/>
    <w:rsid w:val="51736098"/>
    <w:rsid w:val="51B14BED"/>
    <w:rsid w:val="51EE252C"/>
    <w:rsid w:val="51FA3D86"/>
    <w:rsid w:val="52022698"/>
    <w:rsid w:val="526965AA"/>
    <w:rsid w:val="531E2281"/>
    <w:rsid w:val="54175BE1"/>
    <w:rsid w:val="5445166E"/>
    <w:rsid w:val="54632332"/>
    <w:rsid w:val="54944CE7"/>
    <w:rsid w:val="55436523"/>
    <w:rsid w:val="55CA20E9"/>
    <w:rsid w:val="55ED23C7"/>
    <w:rsid w:val="56196A30"/>
    <w:rsid w:val="563C5184"/>
    <w:rsid w:val="565631F5"/>
    <w:rsid w:val="56C44CD3"/>
    <w:rsid w:val="581B09AF"/>
    <w:rsid w:val="582E227B"/>
    <w:rsid w:val="58983966"/>
    <w:rsid w:val="589E3B99"/>
    <w:rsid w:val="589F3533"/>
    <w:rsid w:val="591E124A"/>
    <w:rsid w:val="59222E1A"/>
    <w:rsid w:val="593261D2"/>
    <w:rsid w:val="59423730"/>
    <w:rsid w:val="595A6E9E"/>
    <w:rsid w:val="5A7B3B9F"/>
    <w:rsid w:val="5A8F1C82"/>
    <w:rsid w:val="5A9A3C1E"/>
    <w:rsid w:val="5AA04D8D"/>
    <w:rsid w:val="5AFF5DE6"/>
    <w:rsid w:val="5B4026E8"/>
    <w:rsid w:val="5B482E24"/>
    <w:rsid w:val="5C4D6207"/>
    <w:rsid w:val="5C9A4DB7"/>
    <w:rsid w:val="5CA41236"/>
    <w:rsid w:val="5D1A39EE"/>
    <w:rsid w:val="5D5C7688"/>
    <w:rsid w:val="5DA16AA1"/>
    <w:rsid w:val="5E224225"/>
    <w:rsid w:val="5E2732CD"/>
    <w:rsid w:val="5E336F39"/>
    <w:rsid w:val="60205F90"/>
    <w:rsid w:val="608B6BCC"/>
    <w:rsid w:val="608E2F6C"/>
    <w:rsid w:val="60EC3C37"/>
    <w:rsid w:val="61542874"/>
    <w:rsid w:val="61A058F7"/>
    <w:rsid w:val="62082A4E"/>
    <w:rsid w:val="623C28E2"/>
    <w:rsid w:val="62D53BF4"/>
    <w:rsid w:val="63483DC6"/>
    <w:rsid w:val="635A3049"/>
    <w:rsid w:val="63610183"/>
    <w:rsid w:val="63682542"/>
    <w:rsid w:val="637947A5"/>
    <w:rsid w:val="63D0005D"/>
    <w:rsid w:val="64B7605C"/>
    <w:rsid w:val="652B096E"/>
    <w:rsid w:val="652D1BE4"/>
    <w:rsid w:val="658B678B"/>
    <w:rsid w:val="65E73B66"/>
    <w:rsid w:val="66131984"/>
    <w:rsid w:val="66153079"/>
    <w:rsid w:val="66775B44"/>
    <w:rsid w:val="66785612"/>
    <w:rsid w:val="66E16576"/>
    <w:rsid w:val="66E33C2D"/>
    <w:rsid w:val="67427945"/>
    <w:rsid w:val="68063227"/>
    <w:rsid w:val="68233C28"/>
    <w:rsid w:val="684F5D8C"/>
    <w:rsid w:val="6906197A"/>
    <w:rsid w:val="69163AF6"/>
    <w:rsid w:val="69292BE7"/>
    <w:rsid w:val="692A17F3"/>
    <w:rsid w:val="6963409C"/>
    <w:rsid w:val="69C27972"/>
    <w:rsid w:val="69D552FC"/>
    <w:rsid w:val="6A2E4954"/>
    <w:rsid w:val="6A410A16"/>
    <w:rsid w:val="6A6E396D"/>
    <w:rsid w:val="6A983C38"/>
    <w:rsid w:val="6AC9421D"/>
    <w:rsid w:val="6AD94F47"/>
    <w:rsid w:val="6AF43FB0"/>
    <w:rsid w:val="6C4C2667"/>
    <w:rsid w:val="6CDA49A3"/>
    <w:rsid w:val="6CF36133"/>
    <w:rsid w:val="6CFA1745"/>
    <w:rsid w:val="6D044CB7"/>
    <w:rsid w:val="6D2C0194"/>
    <w:rsid w:val="6DD1076A"/>
    <w:rsid w:val="6DDE3DAF"/>
    <w:rsid w:val="6E1735DC"/>
    <w:rsid w:val="6E2211D6"/>
    <w:rsid w:val="6F1206C7"/>
    <w:rsid w:val="6FBA4BA1"/>
    <w:rsid w:val="6FE2388A"/>
    <w:rsid w:val="70D37646"/>
    <w:rsid w:val="70E13200"/>
    <w:rsid w:val="714420CD"/>
    <w:rsid w:val="715F4C2D"/>
    <w:rsid w:val="724530CF"/>
    <w:rsid w:val="727009A5"/>
    <w:rsid w:val="72CB7F46"/>
    <w:rsid w:val="73121CB7"/>
    <w:rsid w:val="745A66E9"/>
    <w:rsid w:val="745C121D"/>
    <w:rsid w:val="74BC3FA6"/>
    <w:rsid w:val="74FE041B"/>
    <w:rsid w:val="754453F7"/>
    <w:rsid w:val="755C4C37"/>
    <w:rsid w:val="75DF103E"/>
    <w:rsid w:val="75E93B0F"/>
    <w:rsid w:val="761A2E8D"/>
    <w:rsid w:val="768D7CD7"/>
    <w:rsid w:val="774D1291"/>
    <w:rsid w:val="77647371"/>
    <w:rsid w:val="776C25E5"/>
    <w:rsid w:val="776C3E9D"/>
    <w:rsid w:val="77B7237F"/>
    <w:rsid w:val="78271104"/>
    <w:rsid w:val="784B7472"/>
    <w:rsid w:val="7962750F"/>
    <w:rsid w:val="796B0021"/>
    <w:rsid w:val="79701A60"/>
    <w:rsid w:val="797218E2"/>
    <w:rsid w:val="79E224E4"/>
    <w:rsid w:val="7A4205D3"/>
    <w:rsid w:val="7AB05BBC"/>
    <w:rsid w:val="7AB44E97"/>
    <w:rsid w:val="7AB94AC3"/>
    <w:rsid w:val="7AE36910"/>
    <w:rsid w:val="7B063929"/>
    <w:rsid w:val="7B940404"/>
    <w:rsid w:val="7BB473EC"/>
    <w:rsid w:val="7BF8597E"/>
    <w:rsid w:val="7C12395E"/>
    <w:rsid w:val="7C14711B"/>
    <w:rsid w:val="7C312516"/>
    <w:rsid w:val="7C45431D"/>
    <w:rsid w:val="7C4A144B"/>
    <w:rsid w:val="7C5E2D26"/>
    <w:rsid w:val="7C963B24"/>
    <w:rsid w:val="7D4C1C46"/>
    <w:rsid w:val="7DB44FBE"/>
    <w:rsid w:val="7DC64605"/>
    <w:rsid w:val="7DDD0501"/>
    <w:rsid w:val="7E0E5579"/>
    <w:rsid w:val="7E2653BA"/>
    <w:rsid w:val="7E2B63E7"/>
    <w:rsid w:val="7E8B79FF"/>
    <w:rsid w:val="7E935AFB"/>
    <w:rsid w:val="7E9C3271"/>
    <w:rsid w:val="7EC65AAB"/>
    <w:rsid w:val="7F4610EC"/>
    <w:rsid w:val="7F50759A"/>
    <w:rsid w:val="7FA522BC"/>
    <w:rsid w:val="7FC90A85"/>
    <w:rsid w:val="7FDA4E9A"/>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223</Words>
  <Characters>1272</Characters>
  <Lines>10</Lines>
  <Paragraphs>2</Paragraphs>
  <TotalTime>43</TotalTime>
  <ScaleCrop>false</ScaleCrop>
  <LinksUpToDate>false</LinksUpToDate>
  <CharactersWithSpaces>1493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2022-04-25T12:03:41Z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